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48"/>
        </w:rPr>
        <w:t>Paper metodologico: sviluppo incrementale e decisioni architetturali in GarlicSMTP</w:t>
      </w:r>
    </w:p>
    <w:p>
      <w:pPr>
        <w:jc w:val="center"/>
      </w:pPr>
      <w:r>
        <w:rPr>
          <w:rFonts w:ascii="Aptos" w:hAnsi="Aptos"/>
          <w:i/>
          <w:sz w:val="20"/>
        </w:rPr>
        <w:t>Stato al 3 settembre 2026</w:t>
      </w:r>
    </w:p>
    <w:p>
      <w:pPr>
        <w:jc w:val="center"/>
      </w:pPr>
      <w:r>
        <w:rPr>
          <w:rFonts w:ascii="Aptos" w:hAnsi="Aptos"/>
          <w:i/>
          <w:sz w:val="24"/>
        </w:rPr>
        <w:t>Una metodologia pratica di TDD, ispezione del codice reale, minimizzazione delle modifiche e hardening guidato dalle invarianti</w:t>
      </w:r>
    </w:p>
    <w:p>
      <w:pPr>
        <w:pStyle w:val="Heading1"/>
      </w:pPr>
      <w:r>
        <w:t>Abstract</w:t>
      </w:r>
    </w:p>
    <w:p>
      <w:r>
        <w:t>Questo paper descrive la metodologia di lavoro adottata durante una sessione estesa di sviluppo software. Non documenta il prodotto risultante come oggetto principale; analizza invece il processo con cui sono state formulate, testate e corrette scelte di codice, sicurezza e architettura. Il metodo combina test-driven development a grana fine, ispezione preventiva del codice esistente, propagazione incrementale delle dipendenze, separazione delle responsabilità crittografiche, regressione su suite completa e uso degli errori come strumenti di scoperta. Particolare attenzione è stata posta al controllo della complessità: una modifica per volta, nessuna astrazione anticipata e decisioni rinviate quando mancavano evidenze sufficienti.</w:t>
      </w:r>
    </w:p>
    <w:p>
      <w:pPr>
        <w:pStyle w:val="Heading1"/>
      </w:pPr>
      <w:r>
        <w:t>1. Problema metodologico</w:t>
      </w:r>
    </w:p>
    <w:p>
      <w:r>
        <w:t>In un progetto di rete e sicurezza, la difficoltà non consiste soltanto nello scrivere codice corretto localmente. Ogni cambiamento può attraversare più layer: modello, protocollo, trasporto, persistenza, bootstrap applicativo e test d'integrazione. Una metodologia efficace deve quindi limitare contemporaneamente tre rischi: introdurre regressioni, sovraingegnerizzare il sistema e prendere decisioni su una rappresentazione immaginata del codice anziché sulla sua struttura reale.</w:t>
      </w:r>
    </w:p>
    <w:p>
      <w:pPr>
        <w:pStyle w:val="Heading1"/>
      </w:pPr>
      <w:r>
        <w:t>2. Principio fondamentale: inspect -&gt; red -&gt; minimal green -&gt; regression</w:t>
      </w:r>
    </w:p>
    <w:p>
      <w:r>
        <w:t>Il ciclo operativo adottato è stato deliberatamente più restrittivo del TDD generico. Prima di formulare una modifica, veniva ispezionato il file reale coinvolto. Solo dopo veniva scritto un test che esprimesse una singola nuova proprietà. Il test doveva fallire per la ragione prevista; la produzione veniva quindi modificata nel modo minimo necessario a renderlo verde. Infine venivano eseguiti test mirati e, a checkpoint significativi, l'intera suite.</w:t>
      </w:r>
    </w:p>
    <w:p>
      <w:pPr>
        <w:spacing w:before="60" w:after="120"/>
        <w:ind w:left="360"/>
      </w:pPr>
      <w:r>
        <w:rPr>
          <w:rFonts w:ascii="Liberation Mono" w:hAnsi="Liberation Mono"/>
          <w:sz w:val="17"/>
        </w:rPr>
        <w:t>1. INSPECT  -&gt; leggere firma, dipendenze, fixture e comportamento esistenti</w:t>
        <w:br/>
        <w:t>2. RED      -&gt; aggiungere un solo test che fallisca per la ragione prevista</w:t>
        <w:br/>
        <w:t>3. GREEN    -&gt; applicare la modifica minima, senza refactoring collaterale</w:t>
        <w:br/>
        <w:t>4. TARGET   -&gt; rieseguire il test/file interessato</w:t>
        <w:br/>
        <w:t>5. REGRESS  -&gt; eseguire il blocco correlato e poi la suite completa</w:t>
        <w:br/>
        <w:t>6. DECIDE   -&gt; solo ora scegliere il passo architetturale successivo</w:t>
      </w:r>
    </w:p>
    <w:p>
      <w:r>
        <w:t>Questo ciclo ha trasformato ogni errore in un punto di osservazione controllato. Un rosso inatteso non veniva aggirato: indicava che l'assunzione precedente era incompleta.</w:t>
      </w:r>
    </w:p>
    <w:p>
      <w:pPr>
        <w:pStyle w:val="Heading1"/>
      </w:pPr>
      <w:r>
        <w:t>3. Ispezione prima della prescrizione</w:t>
      </w:r>
    </w:p>
    <w:p>
      <w:r>
        <w:t>Una regola emersa come essenziale è stata evitare indicazioni di modifica basate su nomi o strutture presunte. Prima di proporre una correzione venivano richiesti o letti i file esatti: firme dei costruttori, factory, test esistenti e bootstrap. Questo riduce il rischio di suggerire un parametro nel posto sbagliato, duplicare fixture o creare nuovi file di test quando esiste già una sede naturale.</w:t>
      </w:r>
    </w:p>
    <w:p>
      <w:r>
        <w:t>L'approccio è particolarmente importante nei sistemi evolutivi: la documentazione mentale del progetto diventa rapidamente obsoleta, mentre il codice corrente è la fonte operativa della verità. La metodologia ha quindi privilegiato comandi di ispezione stretti (sed, grep, test mirati) rispetto a ricostruzioni speculative.</w:t>
      </w:r>
    </w:p>
    <w:p>
      <w:pPr>
        <w:pStyle w:val="Heading1"/>
      </w:pPr>
      <w:r>
        <w:t>4. TDD a granularità minima</w:t>
      </w:r>
    </w:p>
    <w:p>
      <w:r>
        <w:t>I test non sono stati aggiunti in grandi batch. Ogni test ha chiuso una singola proprietà: versione non supportata, algoritmo errato, Base64 malformato, campo duplicato, campo mancante, sintassi senza '=', propagazione di un parametro da un layer al successivo. Questa granularità produce due vantaggi: localizza immediatamente la causa del fallimento e rende evidente quale modifica di produzione è giustificata dal test.</w:t>
      </w:r>
    </w:p>
    <w:p>
      <w:r>
        <w:t>La granularità minima ha anche una funzione di governance architetturale: impedisce che una feature apparentemente semplice diventi il pretesto per introdurre contemporaneamente cache, nuovi servizi, interfacce e refactoring non richiesti.</w:t>
      </w:r>
    </w:p>
    <w:p>
      <w:pPr>
        <w:pStyle w:val="Heading1"/>
      </w:pPr>
      <w:r>
        <w:t>5. Characterization tests e retrocompatibilità</w:t>
      </w:r>
    </w:p>
    <w:p>
      <w:r>
        <w:t>Prima di estendere componenti esistenti è stato spesso fissato il comportamento precedente. Per esempio, quando un handler ha acquisito una capability opzionale, è stato aggiunto anche un test che dimostrasse che l'assenza della capability mantiene la risposta precedente. Questi characterization tests fungono da contratto: l'estensione è ammessa soltanto se il comportamento legacy resta stabile.</w:t>
      </w:r>
    </w:p>
    <w:p>
      <w:pPr>
        <w:pStyle w:val="Heading1"/>
      </w:pPr>
      <w:r>
        <w:t>6. Propagazione delle dipendenze un layer alla volta</w:t>
      </w:r>
    </w:p>
    <w:p>
      <w:r>
        <w:t>Quando un nuovo dato deve attraversare l'applicazione, il metodo evita un'unica modifica verticale di molti file. La dipendenza viene propagata per segmenti, ciascuno con il proprio test: handler, factory/dispatcher, protocollo, server, builder. Questo rende il grafo delle dipendenze osservabile e permette di fermarsi esattamente nel punto in cui compare un'incompatibilità.</w:t>
      </w:r>
    </w:p>
    <w:p>
      <w:pPr>
        <w:spacing w:before="60" w:after="120"/>
        <w:ind w:left="360"/>
      </w:pPr>
      <w:r>
        <w:rPr>
          <w:rFonts w:ascii="Liberation Mono" w:hAnsi="Liberation Mono"/>
          <w:sz w:val="17"/>
        </w:rPr>
        <w:t>Dato nuovo</w:t>
        <w:br/>
        <w:t xml:space="preserve">  -&gt; componente terminale</w:t>
        <w:br/>
        <w:t xml:space="preserve">  -&gt; factory</w:t>
        <w:br/>
        <w:t xml:space="preserve">  -&gt; protocollo</w:t>
        <w:br/>
        <w:t xml:space="preserve">  -&gt; server</w:t>
        <w:br/>
        <w:t xml:space="preserve">  -&gt; composition root</w:t>
      </w:r>
    </w:p>
    <w:p>
      <w:r>
        <w:t>Il composition root viene modificato per ultimo. In questo modo i componenti inferiori sono già testati e il builder si limita a comporli, invece di diventare il luogo in cui si inventano formati o regole di dominio.</w:t>
      </w:r>
    </w:p>
    <w:p>
      <w:pPr>
        <w:pStyle w:val="Heading1"/>
      </w:pPr>
      <w:r>
        <w:t>7. Separazione tra rappresentazione, parsing e trasporto</w:t>
      </w:r>
    </w:p>
    <w:p>
      <w:r>
        <w:t>Le scelte tecniche hanno seguito il principio di mantenere ogni layer il più ignorante possibile. Il layer SMTP estrae o trasporta una capability testuale; la semantica crittografica appartiene a una classe dedicata che esegue parsing e serializzazione. Il builder costruisce l'oggetto corretto e passa una rappresentazione già valida. Questa separazione riduce coupling e rende più semplice testare ciascun contratto in isolamento.</w:t>
      </w:r>
    </w:p>
    <w:p>
      <w:pPr>
        <w:pStyle w:val="Heading1"/>
      </w:pPr>
      <w:r>
        <w:t>8. Sicurezza come insieme di invarianti verificabili</w:t>
      </w:r>
    </w:p>
    <w:p>
      <w:r>
        <w:t>L'hardening non è stato trattato come una proprietà generica ('sicuro'), ma come una sequenza di invarianti concrete. Esempi metodologici: permessi esatti dei file, rifiuto dei symlink, atomicità delle scritture, parser chiusi rispetto a campi sconosciuti, autenticazione dell'envelope tramite AAD, separazione delle chiavi per funzioni diverse e normalizzazione degli errori esposti.</w:t>
      </w:r>
    </w:p>
    <w:p>
      <w:r>
        <w:t>Ogni invariante viene preferibilmente trasformata in un test negativo. I test negativi sono centrali nella sicurezza perché descrivono non solo ciò che il sistema accetta, ma soprattutto ciò che deve rifiutare.</w:t>
      </w:r>
    </w:p>
    <w:p>
      <w:pPr>
        <w:pStyle w:val="Heading1"/>
      </w:pPr>
      <w:r>
        <w:t>9. Separazione delle responsabilità crittografiche</w:t>
      </w:r>
    </w:p>
    <w:p>
      <w:r>
        <w:t>Una decisione metodologica importante è stata evitare di usare una singola identità crittografica per più scopi. Identità dell'Onion Service, firma dei messaggi e cifratura end-to-end sono state considerate responsabilità distinte. Analogamente, autenticità/integrità e confidenzialità sono state modellate come primitive indipendenti. Questo consente di ragionare sulle proprietà di sicurezza separatamente e riduce il rischio di accoppiamenti crittografici difficili da evolvere.</w:t>
      </w:r>
    </w:p>
    <w:p>
      <w:pPr>
        <w:pStyle w:val="Heading1"/>
      </w:pPr>
      <w:r>
        <w:t>10. Ordine delle trasformazioni e invarianti di protocollo</w:t>
      </w:r>
    </w:p>
    <w:p>
      <w:r>
        <w:t>Per le trasformazioni del messaggio è stato scelto esplicitamente un ordine e poi verificata la compatibilità delle invarianti: firmare prima di cifrare permette al destinatario di decifrare e verificare il plaintext firmato; l'envelope, necessario al routing, resta esterno ma viene autenticato come AAD. Il metodo non si limita quindi a scegliere algoritmi: verifica come le trasformazioni compongono le semantiche del protocollo.</w:t>
      </w:r>
    </w:p>
    <w:p>
      <w:pPr>
        <w:pStyle w:val="Heading1"/>
      </w:pPr>
      <w:r>
        <w:t>11. Il valore della suite completa</w:t>
      </w:r>
    </w:p>
    <w:p>
      <w:r>
        <w:t>I test mirati dimostrano che una modifica soddisfa il contratto locale, ma non dimostrano che il protocollo complessivo resti interoperabile. La suite completa ha infatti scoperto un difetto di framing SMTP che i test locali non vedevano: la capability era presente nei byte, ma la risposta multilinea non rispettava il framing atteso da un client reale.</w:t>
      </w:r>
    </w:p>
    <w:p>
      <w:r>
        <w:t>Questo episodio illustra una regola generale: per i protocolli di rete bisogna testare sia il contenuto sia il framing. Un'asserzione del tipo 'la stringa è presente' è insufficiente quando il peer interpreta uno stream con regole di stato.</w:t>
      </w:r>
    </w:p>
    <w:p>
      <w:pPr>
        <w:pStyle w:val="Heading1"/>
      </w:pPr>
      <w:r>
        <w:t>12. Test con implementazioni reali come oracolo di interoperabilità</w:t>
      </w:r>
    </w:p>
    <w:p>
      <w:r>
        <w:t>L'uso di smtplib come client reale ha fornito un oracolo indipendente rispetto ai fake interni. Quando smtplib ha ricevuto una reply diversa da quella attesa, il problema ha rivelato un errore di protocollo e non un dettaglio del test. La metodologia privilegia quindi fake piccoli per l'unit testing, ma richiede almeno alcuni test con implementazioni reali per validare interoperabilità e framing.</w:t>
      </w:r>
    </w:p>
    <w:p>
      <w:pPr>
        <w:pStyle w:val="Heading1"/>
      </w:pPr>
      <w:r>
        <w:t>13. Gestione delle regressioni: un problema alla volta</w:t>
      </w:r>
    </w:p>
    <w:p>
      <w:r>
        <w:t>Quando la suite completa ha mostrato due fallimenti, non sono stati corretti insieme. È stato affrontato prima il fallimento semanticamente più importante, quello del client reale; solo dopo è stato aggiornato un FakeProtocol la cui firma non rifletteva più quella di produzione. Separare le correzioni preserva la capacità diagnostica del ciclo TDD.</w:t>
      </w:r>
    </w:p>
    <w:p>
      <w:pPr>
        <w:pStyle w:val="Heading1"/>
      </w:pPr>
      <w:r>
        <w:t>14. Anti-overengineering come vincolo esplicito</w:t>
      </w:r>
    </w:p>
    <w:p>
      <w:r>
        <w:t>La metodologia ha trattato il non sovraingegnerizzare come un requisito, non come una preferenza estetica. Un caso esemplare è il parser della capability: dopo aver coperto formato valido, campi sconosciuti, duplicati, mancanti, Base64 e lunghezza della chiave, ulteriori raffinatezze non necessarie sono state deliberatamente rinviate. La domanda guida è stata: questa astrazione o questo controllo chiude una minaccia o un requisito attuale? Se no, viene rimandato.</w:t>
      </w:r>
    </w:p>
    <w:p>
      <w:pPr>
        <w:pStyle w:val="Heading1"/>
      </w:pPr>
      <w:r>
        <w:t>15. Decisioni differite e debito intenzionale</w:t>
      </w:r>
    </w:p>
    <w:p>
      <w:r>
        <w:t>Rinviare una decisione non equivale a ignorarla. Le questioni non ancora mature sono state registrate esplicitamente con il motivo del rinvio. Nel caso della discovery E2EE, esiste una tensione architetturale reale: il composer cifra prima della queue, mentre la chiave remota viene naturalmente scoperta durante EHLO. Invece di mascherare il problema con una cache improvvisata, la metodologia conserva la questione come prossimo decision point.</w:t>
      </w:r>
    </w:p>
    <w:p>
      <w:pPr>
        <w:pStyle w:val="Heading1"/>
      </w:pPr>
      <w:r>
        <w:t>16. Error handling e privacy by construction</w:t>
      </w:r>
    </w:p>
    <w:p>
      <w:r>
        <w:t>Gli errori sono stati considerati parte dell'interfaccia di sicurezza. I messaggi esposti vengono normalizzati e sanitizzati; i log conservano categorie di errore invece di contenuti potenzialmente sensibili. Questo principio è stato applicato sia ai parser crittografici sia ai servizi di rete. La metodologia suggerisce di testare esplicitamente anche l'assenza di dati sensibili negli output diagnostici.</w:t>
      </w:r>
    </w:p>
    <w:p>
      <w:pPr>
        <w:pStyle w:val="Heading1"/>
      </w:pPr>
      <w:r>
        <w:t>17. Criteri di scelta architetturale</w:t>
      </w:r>
    </w:p>
    <w:p>
      <w:r>
        <w:t>Le scelte sono state valutate con una gerarchia pratica di criteri:</w:t>
      </w:r>
    </w:p>
    <w:p>
      <w:pPr>
        <w:pStyle w:val="ListNumber"/>
      </w:pPr>
      <w:r>
        <w:t>Preservare invarianti di sicurezza e privacy.</w:t>
      </w:r>
    </w:p>
    <w:p>
      <w:pPr>
        <w:pStyle w:val="ListNumber"/>
      </w:pPr>
      <w:r>
        <w:t>Mantenere separati i domini di responsabilità.</w:t>
      </w:r>
    </w:p>
    <w:p>
      <w:pPr>
        <w:pStyle w:val="ListNumber"/>
      </w:pPr>
      <w:r>
        <w:t>Ridurre il coupling fra layer.</w:t>
      </w:r>
    </w:p>
    <w:p>
      <w:pPr>
        <w:pStyle w:val="ListNumber"/>
      </w:pPr>
      <w:r>
        <w:t>Preferire una modifica locale verificabile a una ristrutturazione globale.</w:t>
      </w:r>
    </w:p>
    <w:p>
      <w:pPr>
        <w:pStyle w:val="ListNumber"/>
      </w:pPr>
      <w:r>
        <w:t>Preservare retrocompatibilità quando non esiste un requisito per romperla.</w:t>
      </w:r>
    </w:p>
    <w:p>
      <w:pPr>
        <w:pStyle w:val="ListNumber"/>
      </w:pPr>
      <w:r>
        <w:t>Rimandare generalizzazioni finché non esiste un secondo caso reale che le giustifichi.</w:t>
      </w:r>
    </w:p>
    <w:p>
      <w:pPr>
        <w:pStyle w:val="ListNumber"/>
      </w:pPr>
      <w:r>
        <w:t>Usare la suite completa e peer reali per validare le assunzioni di protocollo.</w:t>
      </w:r>
    </w:p>
    <w:p>
      <w:pPr>
        <w:pStyle w:val="Heading1"/>
      </w:pPr>
      <w:r>
        <w:t>18. Pattern operativo riutilizzabile</w:t>
      </w:r>
    </w:p>
    <w:p>
      <w:r>
        <w:t>Il processo adottato può essere riutilizzato in altri progetti di rete, sicurezza o sistemi distribuiti:</w:t>
      </w:r>
    </w:p>
    <w:p>
      <w:pPr>
        <w:spacing w:before="60" w:after="120"/>
        <w:ind w:left="360"/>
      </w:pPr>
      <w:r>
        <w:rPr>
          <w:rFonts w:ascii="Liberation Mono" w:hAnsi="Liberation Mono"/>
          <w:sz w:val="17"/>
        </w:rPr>
        <w:t>A. Definire l'invariante</w:t>
        <w:br/>
        <w:t>B. Individuare il componente più basso che può esprimerla</w:t>
        <w:br/>
        <w:t>C. Ispezionare codice e test esistenti</w:t>
        <w:br/>
        <w:t>D. Scrivere un test rosso minimo</w:t>
        <w:br/>
        <w:t>E. Verificare che il rosso sia quello previsto</w:t>
        <w:br/>
        <w:t>F. Implementare il minimo necessario</w:t>
        <w:br/>
        <w:t>G. Eseguire test mirati</w:t>
        <w:br/>
        <w:t>H. Propagare una sola dipendenza al layer successivo</w:t>
        <w:br/>
        <w:t>I. Ripetere</w:t>
        <w:br/>
        <w:t>J. Eseguire test d'integrazione con peer reale</w:t>
        <w:br/>
        <w:t>K. Eseguire la suite completa</w:t>
        <w:br/>
        <w:t>L. Registrare decisioni rinviate e prossimo decision point</w:t>
      </w:r>
    </w:p>
    <w:p>
      <w:pPr>
        <w:pStyle w:val="Heading1"/>
      </w:pPr>
      <w:r>
        <w:t>19. Limiti della metodologia</w:t>
      </w:r>
    </w:p>
    <w:p>
      <w:r>
        <w:t>Il metodo privilegia affidabilità e comprensione incrementale rispetto alla velocità apparente. Può produrre più iterazioni e richiede disciplina nel non raggruppare modifiche. Inoltre una suite ampia non sostituisce una threat analysis formale, test fuzzing, audit indipendenti o verifica crittografica specialistica. Il metodo riduce il rischio di regressioni e decisioni premature, ma non dimostra da solo la sicurezza complessiva di un sistema.</w:t>
      </w:r>
    </w:p>
    <w:p>
      <w:pPr>
        <w:pStyle w:val="Heading1"/>
      </w:pPr>
      <w:r>
        <w:t>20. Conclusione</w:t>
      </w:r>
    </w:p>
    <w:p>
      <w:r>
        <w:t>La caratteristica distintiva del processo non è un singolo strumento, ma la combinazione di evidenza locale e disciplina architetturale. Il codice reale viene ispezionato prima di essere modificato; ogni proprietà nasce da un test osservabile; le dipendenze vengono propagate gradualmente; le primitive di sicurezza sono espresse come invarianti; le generalizzazioni vengono rinviate finché non sono necessarie; e la suite completa viene usata come strumento di scoperta, non come mera formalità finale. Il risultato è un processo in cui le decisioni tecniche restano spiegabili, reversibili e verificabili passo dopo passo.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GarlicSMTP Project - documento di lavoro tecnico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