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GarlicSMTP</w:t>
        <w:br/>
        <w:t>Metodologia ingegneristica</w:t>
      </w:r>
    </w:p>
    <w:p>
      <w:pPr>
        <w:jc w:val="center"/>
      </w:pPr>
      <w:r>
        <w:rPr>
          <w:b/>
        </w:rPr>
        <w:t>Versione 2 - stato al 6 settembre 2026</w:t>
      </w:r>
    </w:p>
    <w:p>
      <w:pPr>
        <w:jc w:val="center"/>
      </w:pPr>
      <w:r>
        <w:rPr>
          <w:i/>
        </w:rPr>
        <w:t>Milestone di progetto - versione 2</w:t>
      </w:r>
    </w:p>
    <w:p/>
    <w:p>
      <w:pPr>
        <w:pStyle w:val="Heading1"/>
      </w:pPr>
      <w:r>
        <w:t>1. Metodo confermato</w:t>
      </w:r>
    </w:p>
    <w:p>
      <w:r>
        <w:t>La metodologia della versione precedente è stata mantenuta: inspect -&gt; RED -&gt; minimal GREEN -&gt; test mirato -&gt; regressione -&gt; decisione. Lo Sprint 3 ha confermato l'utilità di propagare le dipendenze un layer alla volta e di usare client di protocollo reali come oracolo di interoperabilità.</w:t>
      </w:r>
    </w:p>
    <w:p>
      <w:pPr>
        <w:pStyle w:val="Heading1"/>
      </w:pPr>
      <w:r>
        <w:t>2. Regole operative consolidate</w:t>
      </w:r>
    </w:p>
    <w:p>
      <w:pPr>
        <w:pStyle w:val="ListBullet"/>
      </w:pPr>
      <w:r>
        <w:t>Ispezionare sorgente e test reali prima di prescrivere una modifica.</w:t>
      </w:r>
    </w:p>
    <w:p>
      <w:pPr>
        <w:pStyle w:val="ListBullet"/>
      </w:pPr>
      <w:r>
        <w:t>Aggiungere un solo test focalizzato; verificare che il RED sia dovuto alla causa prevista.</w:t>
      </w:r>
    </w:p>
    <w:p>
      <w:pPr>
        <w:pStyle w:val="ListBullet"/>
      </w:pPr>
      <w:r>
        <w:t>Applicare la minima modifica di produzione e rieseguire prima il test mirato.</w:t>
      </w:r>
    </w:p>
    <w:p>
      <w:pPr>
        <w:pStyle w:val="ListBullet"/>
      </w:pPr>
      <w:r>
        <w:t>Usare characterization test GREEN quando il comportamento richiesto esiste già; non fabbricare RED.</w:t>
      </w:r>
    </w:p>
    <w:p>
      <w:pPr>
        <w:pStyle w:val="ListBullet"/>
      </w:pPr>
      <w:r>
        <w:t>Eseguire suite completa ai checkpoint significativi.</w:t>
      </w:r>
    </w:p>
    <w:p>
      <w:pPr>
        <w:pStyle w:val="ListBullet"/>
      </w:pPr>
      <w:r>
        <w:t>Non introdurre cache, servizi o generalizzazioni senza un caso reale e un test che le giustifichi.</w:t>
      </w:r>
    </w:p>
    <w:p>
      <w:pPr>
        <w:pStyle w:val="ListBullet"/>
      </w:pPr>
      <w:r>
        <w:t>Saltare refactoring o formattazione se non sono correttivi o funzionali.</w:t>
      </w:r>
    </w:p>
    <w:p>
      <w:pPr>
        <w:pStyle w:val="ListBullet"/>
      </w:pPr>
      <w:r>
        <w:t>Per protocolli di rete, preferire almeno alcuni test con client reali (smtplib/IMAP socket o client equivalente).</w:t>
      </w:r>
    </w:p>
    <w:p>
      <w:pPr>
        <w:pStyle w:val="Heading1"/>
      </w:pPr>
      <w:r>
        <w:t>3. Lezioni dello Sprint 3</w:t>
      </w:r>
    </w:p>
    <w:p>
      <w:r>
        <w:t>Il nodo discovery-versus-encrypt-before-queue è stato risolto senza spostare la cifratura nel transport. La discovery viene effettuata prima dell'enqueue, la chiave viene persistita/pinnata e poi riletta dallo store prima di cifrare. In questo modo il ciphertext esiste già nella queue e il transport resta responsabile della consegna, non della semantica E2EE.</w:t>
      </w:r>
    </w:p>
    <w:p>
      <w:r>
        <w:t>La policy di key change è stata trattata come invariante negativa: una chiave X25519 differente per lo stesso endpoint non sovrascrive il pin e produce un errore temporaneo, preservando la queue.</w:t>
      </w:r>
    </w:p>
    <w:p>
      <w:pPr>
        <w:pStyle w:val="Heading1"/>
      </w:pPr>
      <w:r>
        <w:t>4. Test end-to-end come gate architetturale</w:t>
      </w:r>
    </w:p>
    <w:p>
      <w:r>
        <w:t>Dopo i test unitari e d'integrazione E2EE sono stati aggiunti test node-to-node con TCP reale, SMTPServer e OnionTransport/SMTPClient; soltanto il SOCKS/Tor reale è stato sostituito da un redirect locale. Questo ha validato lo scambio cifrato, la verifica trusted e il rifiuto del cambio chiave.</w:t>
      </w:r>
    </w:p>
    <w:p>
      <w:pPr>
        <w:pStyle w:val="Heading1"/>
      </w:pPr>
      <w:r>
        <w:t>5. Nuova lezione: non bypassare il composition root</w:t>
      </w:r>
    </w:p>
    <w:p>
      <w:r>
        <w:t>Durante la preparazione del test SMTP -&gt; Store -&gt; IMAP è emerso che ApplicationBuilder non propagava un Authenticator a IMAPServer e il default era RejectingAuthenticator. Invece di iniettare manualmente la dipendenza dopo il build, è stato scritto un RED sul builder. La correzione minima ha aggiunto imap_authenticator come dipendenza opzionale e l'ha propagato al server.</w:t>
      </w:r>
    </w:p>
    <w:p>
      <w:r>
        <w:t>Questo distingue una vera correzione funzionale da una modifica cosmetica e mantiene il default fail-closed. La gestione persistente delle credenziali non viene anticipata: appartiene al first-run.</w:t>
      </w:r>
    </w:p>
    <w:p>
      <w:pPr>
        <w:pStyle w:val="Heading1"/>
      </w:pPr>
      <w:r>
        <w:t>6. Criterio per il backend freeze</w:t>
      </w:r>
    </w:p>
    <w:p>
      <w:r>
        <w:t>Il backend non viene congelato sulla sola base della copertura dei singoli componenti. L'ultimo gate è un percorso reale che attraversi i due protocolli e lo store condiviso: smtplib -&gt; SMTPServer -&gt; Pipeline -&gt; MessageStore -&gt; IMAPServer -&gt; SELECT/FETCH. Solo dopo questo test, la suite completa e il controllo del diff si passa all'application/service layer.</w:t>
      </w:r>
    </w:p>
    <w:p>
      <w:pPr>
        <w:pStyle w:val="Heading1"/>
      </w:pPr>
      <w:r>
        <w:t>7. Anti-overengineering aggiornato</w:t>
      </w:r>
    </w:p>
    <w:p>
      <w:pPr>
        <w:pStyle w:val="ListBullet"/>
      </w:pPr>
      <w:r>
        <w:t>Non implementare HIGHESTMODSEQ/CONDSTORE per la V1 se non pubblicizzati e già rifiutati correttamente.</w:t>
      </w:r>
    </w:p>
    <w:p>
      <w:pPr>
        <w:pStyle w:val="ListBullet"/>
      </w:pPr>
      <w:r>
        <w:t>Non costruire ora account database, hashing password o UI credenziali: il builder deve solo poter ricevere un authenticator.</w:t>
      </w:r>
    </w:p>
    <w:p>
      <w:pPr>
        <w:pStyle w:val="ListBullet"/>
      </w:pPr>
      <w:r>
        <w:t>Non generalizzare il callback E2EE a trasporti arbitrari senza requisito.</w:t>
      </w:r>
    </w:p>
    <w:p>
      <w:pPr>
        <w:pStyle w:val="ListBullet"/>
      </w:pPr>
      <w:r>
        <w:t>Non riaprire audit già chiusi in assenza di fallimenti o nuovi requisiti.</w:t>
      </w:r>
    </w:p>
    <w:p>
      <w:pPr>
        <w:pStyle w:val="ListBullet"/>
      </w:pPr>
      <w:r>
        <w:t>Dopo il backend freeze, spostare l'attenzione sul confine service layer e sul prodotto utilizzabile.</w:t>
      </w:r>
    </w:p>
    <w:p>
      <w:pPr>
        <w:pStyle w:val="Heading1"/>
      </w:pPr>
      <w:r>
        <w:t>8. Ciclo operativo per la fase successiva</w:t>
      </w:r>
    </w:p>
    <w:p>
      <w:r>
        <w:t>Per application/service layer e GUI si mantiene lo stesso metodo: ispezionare ciò che esiste, identificare un gap osservabile, testarlo al confine più basso utile, implementare il minimo e integrare un layer alla volta. La GUI non deve diventare un secondo luogo di routing, persistenza, Tor o crittografia.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