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b/>
          <w:sz w:val="48"/>
        </w:rPr>
        <w:t>GarlicSMTP - Riepilogo tecnico del lavoro svolto</w:t>
      </w:r>
    </w:p>
    <w:p>
      <w:pPr>
        <w:spacing w:after="80"/>
        <w:jc w:val="center"/>
      </w:pPr>
      <w:r>
        <w:rPr>
          <w:rFonts w:ascii="Aptos" w:hAnsi="Aptos"/>
          <w:i/>
          <w:sz w:val="20"/>
        </w:rPr>
        <w:t>Stato al 3 settembre 2026</w:t>
      </w:r>
    </w:p>
    <w:p>
      <w:pPr>
        <w:spacing w:after="80"/>
      </w:pPr>
      <w:r>
        <w:rPr>
          <w:b/>
        </w:rPr>
        <w:t xml:space="preserve">Scopo. </w:t>
      </w:r>
      <w:r>
        <w:t>Questo documento sintetizza le decisioni, le modifiche e le verifiche tecniche affrontate durante lo sviluppo collaborativo di GarlicSMTP. È pensato come handoff per proseguire il lavoro in un nuovo ramo o in una nuova sessione senza perdere il filo architetturale.</w:t>
      </w:r>
    </w:p>
    <w:p>
      <w:pPr>
        <w:pStyle w:val="Heading1"/>
      </w:pPr>
      <w:r>
        <w:t>1. Obiettivo e architettura di base</w:t>
      </w:r>
    </w:p>
    <w:p>
      <w:pPr>
        <w:spacing w:after="80"/>
      </w:pPr>
      <w:r>
        <w:t>GarlicSMTP è stato impostato come sistema di messaggistica SMTP orientato alla privacy, con trasporto tramite Tor Onion Services e interfaccia PySide6. Il runtime esegue servizi e task in modo coordinato; il percorso di consegna è stato centralizzato attorno a una pipeline.</w:t>
      </w:r>
    </w:p>
    <w:p>
      <w:pPr>
        <w:pStyle w:val="ListBullet"/>
      </w:pPr>
      <w:r>
        <w:t>MailComposerService costruisce un PipelineContext e invoca la pipeline condivisa.</w:t>
      </w:r>
    </w:p>
    <w:p>
      <w:pPr>
        <w:pStyle w:val="ListBullet"/>
      </w:pPr>
      <w:r>
        <w:t>DeliveryStage distingue destinatari locali da remoti: i locali vengono salvati, i remoti accodati.</w:t>
      </w:r>
    </w:p>
    <w:p>
      <w:pPr>
        <w:pStyle w:val="ListBullet"/>
      </w:pPr>
      <w:r>
        <w:t>La consegna verso Onion Services usa Tor e una Onion identity persistente.</w:t>
      </w:r>
    </w:p>
    <w:p>
      <w:pPr>
        <w:pStyle w:val="ListBullet"/>
      </w:pPr>
      <w:r>
        <w:t>Il dominio onion locale generato viene registrato tra i local_domains e utilizzato anche per il mittente locale.</w:t>
      </w:r>
    </w:p>
    <w:p>
      <w:pPr>
        <w:pStyle w:val="ListBullet"/>
      </w:pPr>
      <w:r>
        <w:t>La coda seleziona il primo elemento pronto, evitando che retry differiti blocchino messaggi successivi.</w:t>
      </w:r>
    </w:p>
    <w:p>
      <w:pPr>
        <w:pStyle w:val="ListBullet"/>
      </w:pPr>
      <w:r>
        <w:t>Sono stati verificati manualmente invio SOCKS/SMTP e comunicazione bidirezionale fra due istanze distinte.</w:t>
      </w:r>
    </w:p>
    <w:p>
      <w:pPr>
        <w:pStyle w:val="Heading1"/>
      </w:pPr>
      <w:r>
        <w:t>2. Licensing e distribuzione</w:t>
      </w:r>
    </w:p>
    <w:p>
      <w:pPr>
        <w:spacing w:after="80"/>
      </w:pPr>
      <w:r>
        <w:t>È stato adottato un modello source-available a doppio canale: uso non commerciale sotto PolyForm Noncommercial License 1.0.0 e licenza commerciale separata.</w:t>
      </w:r>
    </w:p>
    <w:p>
      <w:pPr>
        <w:pStyle w:val="ListBullet"/>
      </w:pPr>
      <w:r>
        <w:t>Copyright: Giuliano Signorelli - GarlicSMTP Project.</w:t>
      </w:r>
    </w:p>
    <w:p>
      <w:pPr>
        <w:pStyle w:val="ListBullet"/>
      </w:pPr>
      <w:r>
        <w:t>Contatto commerciale: giulisign@gmail.com.</w:t>
      </w:r>
    </w:p>
    <w:p>
      <w:pPr>
        <w:pStyle w:val="ListBullet"/>
      </w:pPr>
      <w:r>
        <w:t>File predisposti: LICENSE, NOTICE, COMMERCIAL-LICENSE.md, THIRD_PARTY_LICENSES.md, CLA.md, CONTRIBUTING.md, SECURITY.md.</w:t>
      </w:r>
    </w:p>
    <w:p>
      <w:pPr>
        <w:pStyle w:val="ListBullet"/>
      </w:pPr>
      <w:r>
        <w:t>Header SPDX applicato ai file Python.</w:t>
      </w:r>
    </w:p>
    <w:p>
      <w:pPr>
        <w:pStyle w:val="ListBullet"/>
      </w:pPr>
      <w:r>
        <w:t>pyproject.toml e requirements.txt aggiornati; dipendenze principali: dnspython, PySide6, cryptography.</w:t>
      </w:r>
    </w:p>
    <w:p>
      <w:pPr>
        <w:pStyle w:val="ListBullet"/>
      </w:pPr>
      <w:r>
        <w:t>È stata esplicitata la distinzione fra source-available e open source OSI.</w:t>
      </w:r>
    </w:p>
    <w:p>
      <w:pPr>
        <w:pStyle w:val="ListBullet"/>
      </w:pPr>
      <w:r>
        <w:t>È stata considerata la compliance Qt/PySide6 per eventuale distribuzione commerciale.</w:t>
      </w:r>
    </w:p>
    <w:p>
      <w:pPr>
        <w:pStyle w:val="Heading1"/>
      </w:pPr>
      <w:r>
        <w:t>3. Hardening di sicurezza completato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Area</w:t>
            </w:r>
          </w:p>
        </w:tc>
        <w:tc>
          <w:tcPr>
            <w:tcW w:type="dxa" w:w="3264"/>
          </w:tcPr>
          <w:p>
            <w:r>
              <w:t>Stato</w:t>
            </w:r>
          </w:p>
        </w:tc>
        <w:tc>
          <w:tcPr>
            <w:tcW w:type="dxa" w:w="3264"/>
          </w:tcPr>
          <w:p>
            <w:r>
              <w:t>Risultato</w:t>
            </w:r>
          </w:p>
        </w:tc>
      </w:tr>
      <w:tr>
        <w:tc>
          <w:tcPr>
            <w:tcW w:type="dxa" w:w="3264"/>
            <w:vAlign w:val="top"/>
          </w:tcPr>
          <w:p>
            <w:r>
              <w:t>1. Onion identity</w:t>
            </w:r>
          </w:p>
        </w:tc>
        <w:tc>
          <w:tcPr>
            <w:tcW w:type="dxa" w:w="3264"/>
            <w:vAlign w:val="top"/>
          </w:tcPr>
          <w:p>
            <w:r>
              <w:t>Completato</w:t>
            </w:r>
          </w:p>
        </w:tc>
        <w:tc>
          <w:tcPr>
            <w:tcW w:type="dxa" w:w="3264"/>
            <w:vAlign w:val="top"/>
          </w:tcPr>
          <w:p>
            <w:r>
              <w:t>0600 file, 0700 directory, scrittura atomica, rifiuto symlink, repair permessi.</w:t>
            </w:r>
          </w:p>
        </w:tc>
      </w:tr>
      <w:tr>
        <w:tc>
          <w:tcPr>
            <w:tcW w:type="dxa" w:w="3264"/>
            <w:vAlign w:val="top"/>
          </w:tcPr>
          <w:p>
            <w:r>
              <w:t>2. Logging privacy-safe</w:t>
            </w:r>
          </w:p>
        </w:tc>
        <w:tc>
          <w:tcPr>
            <w:tcW w:type="dxa" w:w="3264"/>
            <w:vAlign w:val="top"/>
          </w:tcPr>
          <w:p>
            <w:r>
              <w:t>Completato</w:t>
            </w:r>
          </w:p>
        </w:tc>
        <w:tc>
          <w:tcPr>
            <w:tcW w:type="dxa" w:w="3264"/>
            <w:vAlign w:val="top"/>
          </w:tcPr>
          <w:p>
            <w:r>
              <w:t>Log generici, categorie di eccezione, niente indirizzi/contenuti sensibili.</w:t>
            </w:r>
          </w:p>
        </w:tc>
      </w:tr>
      <w:tr>
        <w:tc>
          <w:tcPr>
            <w:tcW w:type="dxa" w:w="3264"/>
            <w:vAlign w:val="top"/>
          </w:tcPr>
          <w:p>
            <w:r>
              <w:t>3. Minimizzazione metadata</w:t>
            </w:r>
          </w:p>
        </w:tc>
        <w:tc>
          <w:tcPr>
            <w:tcW w:type="dxa" w:w="3264"/>
            <w:vAlign w:val="top"/>
          </w:tcPr>
          <w:p>
            <w:r>
              <w:t>Completato</w:t>
            </w:r>
          </w:p>
        </w:tc>
        <w:tc>
          <w:tcPr>
            <w:tcW w:type="dxa" w:w="3264"/>
            <w:vAlign w:val="top"/>
          </w:tcPr>
          <w:p>
            <w:r>
              <w:t>Rimossi metadata superflui e header generati non necessari; greeting/ID minimizzati.</w:t>
            </w:r>
          </w:p>
        </w:tc>
      </w:tr>
      <w:tr>
        <w:tc>
          <w:tcPr>
            <w:tcW w:type="dxa" w:w="3264"/>
            <w:vAlign w:val="top"/>
          </w:tcPr>
          <w:p>
            <w:r>
              <w:t>4. Autenticità e integrità</w:t>
            </w:r>
          </w:p>
        </w:tc>
        <w:tc>
          <w:tcPr>
            <w:tcW w:type="dxa" w:w="3264"/>
            <w:vAlign w:val="top"/>
          </w:tcPr>
          <w:p>
            <w:r>
              <w:t>Completato</w:t>
            </w:r>
          </w:p>
        </w:tc>
        <w:tc>
          <w:tcPr>
            <w:tcW w:type="dxa" w:w="3264"/>
            <w:vAlign w:val="top"/>
          </w:tcPr>
          <w:p>
            <w:r>
              <w:t>Ed25519, canonicalizzazione v1, trust store, VerificationStatus, firma/verifica integrata.</w:t>
            </w:r>
          </w:p>
        </w:tc>
      </w:tr>
      <w:tr>
        <w:tc>
          <w:tcPr>
            <w:tcW w:type="dxa" w:w="3264"/>
            <w:vAlign w:val="top"/>
          </w:tcPr>
          <w:p>
            <w:r>
              <w:t>5. E2EE</w:t>
            </w:r>
          </w:p>
        </w:tc>
        <w:tc>
          <w:tcPr>
            <w:tcW w:type="dxa" w:w="3264"/>
            <w:vAlign w:val="top"/>
          </w:tcPr>
          <w:p>
            <w:r>
              <w:t>In corso</w:t>
            </w:r>
          </w:p>
        </w:tc>
        <w:tc>
          <w:tcPr>
            <w:tcW w:type="dxa" w:w="3264"/>
            <w:vAlign w:val="top"/>
          </w:tcPr>
          <w:p>
            <w:r>
              <w:t>Primitive crypto e advertisement server-side completati; discovery/trust client prossimo blocco.</w:t>
            </w:r>
          </w:p>
        </w:tc>
      </w:tr>
    </w:tbl>
    <w:p>
      <w:pPr>
        <w:pStyle w:val="Heading1"/>
      </w:pPr>
      <w:r>
        <w:t>4. Autenticità e integrità dei messaggi</w:t>
      </w:r>
    </w:p>
    <w:p>
      <w:pPr>
        <w:spacing w:after="80"/>
      </w:pPr>
      <w:r>
        <w:t>La firma è stata mantenuta indipendente dal trasporto. I messaggi locali vengono firmati prima di entrare nella pipeline; i messaggi SMTP inbound vengono verificati all'ingresso. Lo stato di verifica è metadata locale di fiducia e non parte del MailMessage.</w:t>
      </w:r>
    </w:p>
    <w:p>
      <w:pPr>
        <w:pStyle w:val="ListBullet"/>
      </w:pPr>
      <w:r>
        <w:t>VerificationStatus: UNSIGNED, UNKNOWN_KEY, VERIFIED, INVALID.</w:t>
      </w:r>
    </w:p>
    <w:p>
      <w:pPr>
        <w:pStyle w:val="ListBullet"/>
      </w:pPr>
      <w:r>
        <w:t>Canonicalizzazione v1 JSON: envelope sender, destinatari ordinati, header lower-case esclusa la signature, body UTF-8.</w:t>
      </w:r>
    </w:p>
    <w:p>
      <w:pPr>
        <w:pStyle w:val="ListBullet"/>
      </w:pPr>
      <w:r>
        <w:t>Firma Ed25519 in X-GarlicSMTP-Signature con parser rigoroso.</w:t>
      </w:r>
    </w:p>
    <w:p>
      <w:pPr>
        <w:pStyle w:val="ListBullet"/>
      </w:pPr>
      <w:r>
        <w:t>Trust esplicito separato dalla validità crittografica; first valid unknown key =&gt; UNKNOWN_KEY.</w:t>
      </w:r>
    </w:p>
    <w:p>
      <w:pPr>
        <w:pStyle w:val="ListBullet"/>
      </w:pPr>
      <w:r>
        <w:t>L'identità locale garlicsmtp@&lt;hostname onion reale&gt; viene auto-trusted con la chiave pubblica locale.</w:t>
      </w:r>
    </w:p>
    <w:p>
      <w:pPr>
        <w:pStyle w:val="ListBullet"/>
      </w:pPr>
      <w:r>
        <w:t>Supporto SMTP multi-RCPT e semantica dell'ordine dei destinatari firmata.</w:t>
      </w:r>
    </w:p>
    <w:p>
      <w:pPr>
        <w:pStyle w:val="ListBullet"/>
      </w:pPr>
      <w:r>
        <w:t>OnionTransport preserva l'envelope completo per destinatari sullo stesso host e rifiuta host onion differenti.</w:t>
      </w:r>
    </w:p>
    <w:p>
      <w:pPr>
        <w:pStyle w:val="Heading1"/>
      </w:pPr>
      <w:r>
        <w:t>5. E2EE: primitive crittografiche</w:t>
      </w:r>
    </w:p>
    <w:p>
      <w:pPr>
        <w:spacing w:after="80"/>
      </w:pPr>
      <w:r>
        <w:t>È stata scelta una composizione sign-then-encrypt: il plaintext viene firmato, quindi cifrato. In ricezione il messaggio viene decifrato e successivamente verificato.</w:t>
      </w:r>
    </w:p>
    <w:p>
      <w:pPr>
        <w:spacing w:before="60" w:after="80"/>
        <w:ind w:left="360"/>
      </w:pPr>
      <w:r>
        <w:rPr>
          <w:rFonts w:ascii="Liberation Mono" w:hAnsi="Liberation Mono"/>
          <w:sz w:val="17"/>
        </w:rPr>
        <w:t>OUTBOUND: plaintext -&gt; MessageSigner -&gt; signed message -&gt; MessageEncryptor -&gt; encrypted message</w:t>
        <w:br/>
        <w:t>INBOUND:  encrypted message -&gt; MessageDecryptor -&gt; signed plaintext -&gt; MessageVerifier</w:t>
      </w:r>
    </w:p>
    <w:p>
      <w:pPr>
        <w:pStyle w:val="ListBullet"/>
      </w:pPr>
      <w:r>
        <w:t>X25519: chiave privata persistente del destinatario + chiave effimera del mittente.</w:t>
      </w:r>
    </w:p>
    <w:p>
      <w:pPr>
        <w:pStyle w:val="ListBullet"/>
      </w:pPr>
      <w:r>
        <w:t>HKDF-SHA256 per derivare una chiave simmetrica di 32 byte.</w:t>
      </w:r>
    </w:p>
    <w:p>
      <w:pPr>
        <w:pStyle w:val="ListBullet"/>
      </w:pPr>
      <w:r>
        <w:t>ChaCha20-Poly1305 per cifratura autenticata.</w:t>
      </w:r>
    </w:p>
    <w:p>
      <w:pPr>
        <w:pStyle w:val="ListBullet"/>
      </w:pPr>
      <w:r>
        <w:t>Envelope SMTP lasciato esterno per il routing ma autenticato come AEAD AAD.</w:t>
      </w:r>
    </w:p>
    <w:p>
      <w:pPr>
        <w:pStyle w:val="ListBullet"/>
      </w:pPr>
      <w:r>
        <w:t>Header e body interni cifrati; il messaggio esterno contiene solo X-GarlicSMTP-Encryption e ciphertext Base64.</w:t>
      </w:r>
    </w:p>
    <w:p>
      <w:pPr>
        <w:pStyle w:val="ListBullet"/>
      </w:pPr>
      <w:r>
        <w:t>Onion identity, Ed25519 signing identity e X25519 encryption identity restano chiavi separate.</w:t>
      </w:r>
    </w:p>
    <w:p>
      <w:pPr>
        <w:spacing w:after="80"/>
      </w:pPr>
      <w:r>
        <w:t>La primitive layer è stata chiusa con test per roundtrip, chiave errata, ciphertext/envelope alterati, Base64 rigoroso, nonce/key length, campi duplicati/sconosciuti/mancanti, payload JSON chiuso e normalizzazione degli errori di payload.</w:t>
      </w:r>
    </w:p>
    <w:p>
      <w:pPr>
        <w:pStyle w:val="Heading1"/>
      </w:pPr>
      <w:r>
        <w:t>6. EncryptionIdentity persistente</w:t>
      </w:r>
    </w:p>
    <w:p>
      <w:pPr>
        <w:pStyle w:val="ListBullet"/>
      </w:pPr>
      <w:r>
        <w:t>X25519PrivateKey persistita come raw bytes.</w:t>
      </w:r>
    </w:p>
    <w:p>
      <w:pPr>
        <w:pStyle w:val="ListBullet"/>
      </w:pPr>
      <w:r>
        <w:t>Directory 0700 e file 0600.</w:t>
      </w:r>
    </w:p>
    <w:p>
      <w:pPr>
        <w:pStyle w:val="ListBullet"/>
      </w:pPr>
      <w:r>
        <w:t>Scrittura atomica con file temporaneo nella stessa directory, fsync e os.replace.</w:t>
      </w:r>
    </w:p>
    <w:p>
      <w:pPr>
        <w:pStyle w:val="ListBullet"/>
      </w:pPr>
      <w:r>
        <w:t>Rifiuto di symlink sia all'inizializzazione sia al salvataggio.</w:t>
      </w:r>
    </w:p>
    <w:p>
      <w:pPr>
        <w:pStyle w:val="ListBullet"/>
      </w:pPr>
      <w:r>
        <w:t>Repair dei permessi di identità già esistenti.</w:t>
      </w:r>
    </w:p>
    <w:p>
      <w:pPr>
        <w:pStyle w:val="ListBullet"/>
      </w:pPr>
      <w:r>
        <w:t>Rifiuto di chiavi esistenti invalide o di lunghezza errata senza modificarle.</w:t>
      </w:r>
    </w:p>
    <w:p>
      <w:pPr>
        <w:pStyle w:val="Heading1"/>
      </w:pPr>
      <w:r>
        <w:t>7. Capability E2EE</w:t>
      </w:r>
    </w:p>
    <w:p>
      <w:pPr>
        <w:spacing w:after="80"/>
      </w:pPr>
      <w:r>
        <w:t>È stato introdotto EncryptionCapability per rappresentare e validare il formato pubblicizzato via SMTP EHLO.</w:t>
      </w:r>
    </w:p>
    <w:p>
      <w:pPr>
        <w:spacing w:before="60" w:after="80"/>
        <w:ind w:left="360"/>
      </w:pPr>
      <w:r>
        <w:rPr>
          <w:rFonts w:ascii="Liberation Mono" w:hAnsi="Liberation Mono"/>
          <w:sz w:val="17"/>
        </w:rPr>
        <w:t>GARLICSMTP-E2EE v=1; alg=x25519; key=&lt;base64-public-key&gt;</w:t>
      </w:r>
    </w:p>
    <w:p>
      <w:pPr>
        <w:pStyle w:val="ListBullet"/>
      </w:pPr>
      <w:r>
        <w:t>Parser rigoroso: versione e algoritmo supportati, Base64 strict, lunghezza X25519 32 byte.</w:t>
      </w:r>
    </w:p>
    <w:p>
      <w:pPr>
        <w:pStyle w:val="ListBullet"/>
      </w:pPr>
      <w:r>
        <w:t>Rifiuto di campi duplicati, sconosciuti, mancanti e sintatticamente malformati.</w:t>
      </w:r>
    </w:p>
    <w:p>
      <w:pPr>
        <w:pStyle w:val="ListBullet"/>
      </w:pPr>
      <w:r>
        <w:t>Serializzazione centralizzata nella stessa classe per evitare stringhe duplicate nel builder.</w:t>
      </w:r>
    </w:p>
    <w:p>
      <w:pPr>
        <w:pStyle w:val="ListBullet"/>
      </w:pPr>
      <w:r>
        <w:t>SMTPServerReply lato client espone capability(name) per estrarre il valore testuale da EHLO.</w:t>
      </w:r>
    </w:p>
    <w:p>
      <w:pPr>
        <w:pStyle w:val="Heading1"/>
      </w:pPr>
      <w:r>
        <w:t>8. Advertisement server-side via EHLO</w:t>
      </w:r>
    </w:p>
    <w:p>
      <w:pPr>
        <w:spacing w:after="80"/>
      </w:pPr>
      <w:r>
        <w:t>La capability viene propagata esplicitamente attraverso la catena di costruzione, mantenendo il layer SMTP ignorante dei dettagli crittografici oltre alla stringa da pubblicizzare.</w:t>
      </w:r>
    </w:p>
    <w:p>
      <w:pPr>
        <w:spacing w:before="60" w:after="80"/>
        <w:ind w:left="360"/>
      </w:pPr>
      <w:r>
        <w:rPr>
          <w:rFonts w:ascii="Liberation Mono" w:hAnsi="Liberation Mono"/>
          <w:sz w:val="17"/>
        </w:rPr>
        <w:t>EncryptionIdentity -&gt; EncryptionCapability.serialize() -&gt; ApplicationBuilder -&gt; SMTPServer</w:t>
        <w:br/>
        <w:t>-&gt; SMTPProtocol -&gt; create_dispatcher() -&gt; EHLOHandler -&gt; risposta EHLO</w:t>
      </w:r>
    </w:p>
    <w:p>
      <w:pPr>
        <w:pStyle w:val="ListBullet"/>
      </w:pPr>
      <w:r>
        <w:t>EHLOHandler supporta capability opzionale e mantiene il comportamento precedente quando assente.</w:t>
      </w:r>
    </w:p>
    <w:p>
      <w:pPr>
        <w:pStyle w:val="ListBullet"/>
      </w:pPr>
      <w:r>
        <w:t>create_dispatcher(), SMTPProtocol e SMTPServer propagano il valore con parametri opzionali.</w:t>
      </w:r>
    </w:p>
    <w:p>
      <w:pPr>
        <w:pStyle w:val="ListBullet"/>
      </w:pPr>
      <w:r>
        <w:t>ApplicationBuilder crea encryption.key e costruisce la capability dalla vera chiave pubblica persistente.</w:t>
      </w:r>
    </w:p>
    <w:p>
      <w:pPr>
        <w:pStyle w:val="ListBullet"/>
      </w:pPr>
      <w:r>
        <w:t>Test builder verifica che la chiave pubblicizzata corrisponda alla chiave persistita.</w:t>
      </w:r>
    </w:p>
    <w:p>
      <w:pPr>
        <w:pStyle w:val="Heading1"/>
      </w:pPr>
      <w:r>
        <w:t>9. Correzione del framing SMTP multilinea</w:t>
      </w:r>
    </w:p>
    <w:p>
      <w:pPr>
        <w:spacing w:after="80"/>
      </w:pPr>
      <w:r>
        <w:t>La suite completa ha scoperto una regressione non visibile nei test iniziali: una reply con newline veniva serializzata come una singola risposta SMTP seguita da una riga priva del codice numerico. smtplib lasciava quindi la capability nel flusso e sfasava le risposte successive.</w:t>
      </w:r>
    </w:p>
    <w:p>
      <w:pPr>
        <w:spacing w:before="60" w:after="80"/>
        <w:ind w:left="360"/>
      </w:pPr>
      <w:r>
        <w:rPr>
          <w:rFonts w:ascii="Liberation Mono" w:hAnsi="Liberation Mono"/>
          <w:sz w:val="17"/>
        </w:rPr>
        <w:t>Corretto:</w:t>
        <w:br/>
        <w:t>250-Hello client\r\n</w:t>
        <w:br/>
        <w:t>250 GARLICSMTP-E2EE v=1; alg=x25519; key=...\r\n</w:t>
      </w:r>
    </w:p>
    <w:p>
      <w:pPr>
        <w:spacing w:after="80"/>
      </w:pPr>
      <w:r>
        <w:t>SMTPReply.serialize() ora mantiene identiche le reply singole e usa il framing RFC-style multilinea per più righe. Il test con smtplib reale è tornato verde.</w:t>
      </w:r>
    </w:p>
    <w:p>
      <w:pPr>
        <w:pStyle w:val="Heading1"/>
      </w:pPr>
      <w:r>
        <w:t>10. Stato dei test</w:t>
      </w:r>
    </w:p>
    <w:p>
      <w:pPr>
        <w:spacing w:after="80"/>
      </w:pPr>
      <w:r>
        <w:t>Il blocco mirato E2EE/server-side ha raggiunto 39 test verdi. Dopo la correzione del framing SMTP e l'aggiornamento del fake SMTPProtocol rimasto con la vecchia firma, la suite completa è stata riportata verde. L'ultima suite completa osservata prima delle correzioni contava 1125 test passati e 2 fallimenti; entrambi i fallimenti sono stati poi verificati singolarmente come risolti e l'utente ha confermato la suite verde.</w:t>
      </w:r>
    </w:p>
    <w:p>
      <w:pPr>
        <w:pStyle w:val="Heading1"/>
      </w:pPr>
      <w:r>
        <w:t>11. Decisioni deliberatamente rinviate</w:t>
      </w:r>
    </w:p>
    <w:p>
      <w:pPr>
        <w:pStyle w:val="ListBullet"/>
      </w:pPr>
      <w:r>
        <w:t>Discovery della chiave X25519 del destinatario lato client.</w:t>
      </w:r>
    </w:p>
    <w:p>
      <w:pPr>
        <w:pStyle w:val="ListBullet"/>
      </w:pPr>
      <w:r>
        <w:t>Persistenza/trust/cache delle chiavi E2EE remote e policy di key change/TOFU.</w:t>
      </w:r>
    </w:p>
    <w:p>
      <w:pPr>
        <w:pStyle w:val="ListBullet"/>
      </w:pPr>
      <w:r>
        <w:t>Punto esatto in cui effettuare discovery rispetto al composer e alla queue.</w:t>
      </w:r>
    </w:p>
    <w:p>
      <w:pPr>
        <w:pStyle w:val="ListBullet"/>
      </w:pPr>
      <w:r>
        <w:t>Integrazione decrypt-before-verify nel protocollo SMTP inbound.</w:t>
      </w:r>
    </w:p>
    <w:p>
      <w:pPr>
        <w:pStyle w:val="ListBullet"/>
      </w:pPr>
      <w:r>
        <w:t>Gestione sanitizzata di InvalidTag e altri fallimenti crittografici in transazione SMTP.</w:t>
      </w:r>
    </w:p>
    <w:p>
      <w:pPr>
        <w:pStyle w:val="ListBullet"/>
      </w:pPr>
      <w:r>
        <w:t>Supporto E2EE multi-recipient, group encryption e key rotation.</w:t>
      </w:r>
    </w:p>
    <w:p>
      <w:pPr>
        <w:pStyle w:val="ListBullet"/>
      </w:pPr>
      <w:r>
        <w:t>Cifratura at-rest, correlation resistance ed endpoint hardening.</w:t>
      </w:r>
    </w:p>
    <w:p>
      <w:pPr>
        <w:pStyle w:val="ListBullet"/>
      </w:pPr>
      <w:r>
        <w:t>Allegati, rimandati a dopo l'hardening di sicurezza.</w:t>
      </w:r>
    </w:p>
    <w:p>
      <w:pPr>
        <w:pStyle w:val="Heading1"/>
      </w:pPr>
      <w:r>
        <w:t>12. Prossimo blocco raccomandato</w:t>
      </w:r>
    </w:p>
    <w:p>
      <w:pPr>
        <w:spacing w:after="80"/>
      </w:pPr>
      <w:r>
        <w:t>Client-side E2EE key discovery. Il client SMTP sa già leggere reply EHLO multilinea e può estrarre GARLICSMTP-E2EE. Il prossimo lavoro dovrebbe procedere con TDD: estrazione -&gt; EncryptionCapability.parse() -&gt; binding al dominio onion -&gt; trust/cache -&gt; policy di cambiamento chiave -&gt; integrazione con il punto di cifratura. La scelta architetturale centrale da risolvere è che oggi MailComposerService cifra prima della pipeline/queue, mentre la capability viene naturalmente scoperta durante una connessione SMTP.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GarlicSMTP Project - documento di lavoro tecnico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