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23B26"/>
          <w:sz w:val="48"/>
        </w:rPr>
        <w:t>Linee Guida di Formattazione</w:t>
      </w:r>
    </w:p>
    <w:p>
      <w:pPr>
        <w:jc w:val="center"/>
      </w:pPr>
      <w:r>
        <w:rPr>
          <w:i/>
          <w:sz w:val="24"/>
        </w:rPr>
        <w:t>The Quick &amp; Easy Dry Mix Pantry Cookbook — interno per Amazon KDP</w:t>
      </w:r>
    </w:p>
    <w:p/>
    <w:p>
      <w:pPr>
        <w:pStyle w:val="Heading1"/>
      </w:pPr>
      <w:r>
        <w:rPr>
          <w:color w:val="A23B26"/>
        </w:rPr>
        <w:t>1. Il progetto in breve</w:t>
      </w:r>
    </w:p>
    <w:p>
      <w:r>
        <w:rPr>
          <w:b w:val="0"/>
          <w:i w:val="0"/>
          <w:sz w:val="21"/>
        </w:rPr>
        <w:t>Libro: “The Quick &amp; Easy Dry Mix Pantry Cookbook” di Maggie Reeves. Ricettario di mix secchi da dispensa, 100 ricette su 6 capitoli, più front matter e back matter.</w:t>
      </w:r>
    </w:p>
    <w:p>
      <w:pPr>
        <w:pStyle w:val="ListBullet"/>
      </w:pPr>
      <w:r>
        <w:t>100 ricette, 6 capitoli (vedi elenco al punto 7)</w:t>
      </w:r>
    </w:p>
    <w:p>
      <w:pPr>
        <w:pStyle w:val="ListBullet"/>
      </w:pPr>
      <w:r>
        <w:t>Edizione paperback 8.5 × 11 in — questa è la versione da impaginare ora</w:t>
      </w:r>
    </w:p>
    <w:p>
      <w:pPr>
        <w:pStyle w:val="ListBullet"/>
      </w:pPr>
      <w:r>
        <w:t>Un'edizione hardcover 8.25 × 11 in seguirà come reimpaginazione separata (non uno scale-down del paperback) — non serve occuparsene ora</w:t>
      </w:r>
    </w:p>
    <w:p>
      <w:pPr>
        <w:pStyle w:val="ListBullet"/>
      </w:pPr>
      <w:r>
        <w:t>File di partenza: manoscritto Word consolidato, senza immagini (le foto arrivano in un secondo momento e verranno inserite dove indicato)</w:t>
      </w:r>
    </w:p>
    <w:p>
      <w:pPr>
        <w:pStyle w:val="ListBullet"/>
      </w:pPr>
      <w:r>
        <w:t>Riferimento visivo: il PDF campione di 5 pagine già approvato dal cliente — è la fonte di verità per lo stile, quanto segue lo descrive a parole per chi formatta a mano</w:t>
      </w:r>
    </w:p>
    <w:p/>
    <w:p>
      <w:pPr>
        <w:pStyle w:val="Heading1"/>
      </w:pPr>
      <w:r>
        <w:rPr>
          <w:color w:val="A23B26"/>
        </w:rPr>
        <w:t>2. Impostazioni pagina e griglia</w:t>
      </w:r>
    </w:p>
    <w:p>
      <w:r>
        <w:rPr>
          <w:b w:val="0"/>
          <w:i w:val="0"/>
          <w:sz w:val="21"/>
        </w:rPr>
        <w:t>Tutte le misure sono riferite al trim finale + abbondanza (bleed).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Parametro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Trim finale</w:t>
            </w:r>
          </w:p>
        </w:tc>
        <w:tc>
          <w:tcPr>
            <w:tcW w:type="dxa" w:w="4320"/>
          </w:tcPr>
          <w:p>
            <w:r>
              <w:t>8.5 × 11 in</w:t>
            </w:r>
          </w:p>
        </w:tc>
      </w:tr>
      <w:tr>
        <w:tc>
          <w:tcPr>
            <w:tcW w:type="dxa" w:w="4320"/>
          </w:tcPr>
          <w:p>
            <w:r>
              <w:t>Abbondanza (bleed)</w:t>
            </w:r>
          </w:p>
        </w:tc>
        <w:tc>
          <w:tcPr>
            <w:tcW w:type="dxa" w:w="4320"/>
          </w:tcPr>
          <w:p>
            <w:r>
              <w:t>0.125 in su tutti i lati</w:t>
            </w:r>
          </w:p>
        </w:tc>
      </w:tr>
      <w:tr>
        <w:tc>
          <w:tcPr>
            <w:tcW w:type="dxa" w:w="4320"/>
          </w:tcPr>
          <w:p>
            <w:r>
              <w:t>Dimensione pagina file (trim + bleed)</w:t>
            </w:r>
          </w:p>
        </w:tc>
        <w:tc>
          <w:tcPr>
            <w:tcW w:type="dxa" w:w="4320"/>
          </w:tcPr>
          <w:p>
            <w:r>
              <w:t>8.75 × 11.25 in</w:t>
            </w:r>
          </w:p>
        </w:tc>
      </w:tr>
      <w:tr>
        <w:tc>
          <w:tcPr>
            <w:tcW w:type="dxa" w:w="4320"/>
          </w:tcPr>
          <w:p>
            <w:r>
              <w:t>Margine superiore</w:t>
            </w:r>
          </w:p>
        </w:tc>
        <w:tc>
          <w:tcPr>
            <w:tcW w:type="dxa" w:w="4320"/>
          </w:tcPr>
          <w:p>
            <w:r>
              <w:t>0.75 in</w:t>
            </w:r>
          </w:p>
        </w:tc>
      </w:tr>
      <w:tr>
        <w:tc>
          <w:tcPr>
            <w:tcW w:type="dxa" w:w="4320"/>
          </w:tcPr>
          <w:p>
            <w:r>
              <w:t>Margine inferiore</w:t>
            </w:r>
          </w:p>
        </w:tc>
        <w:tc>
          <w:tcPr>
            <w:tcW w:type="dxa" w:w="4320"/>
          </w:tcPr>
          <w:p>
            <w:r>
              <w:t>0.85 in</w:t>
            </w:r>
          </w:p>
        </w:tc>
      </w:tr>
      <w:tr>
        <w:tc>
          <w:tcPr>
            <w:tcW w:type="dxa" w:w="4320"/>
          </w:tcPr>
          <w:p>
            <w:r>
              <w:t>Margine esterno</w:t>
            </w:r>
          </w:p>
        </w:tc>
        <w:tc>
          <w:tcPr>
            <w:tcW w:type="dxa" w:w="4320"/>
          </w:tcPr>
          <w:p>
            <w:r>
              <w:t>0.625 in</w:t>
            </w:r>
          </w:p>
        </w:tc>
      </w:tr>
      <w:tr>
        <w:tc>
          <w:tcPr>
            <w:tcW w:type="dxa" w:w="4320"/>
          </w:tcPr>
          <w:p>
            <w:r>
              <w:t>Margine interno / gutter</w:t>
            </w:r>
          </w:p>
        </w:tc>
        <w:tc>
          <w:tcPr>
            <w:tcW w:type="dxa" w:w="4320"/>
          </w:tcPr>
          <w:p>
            <w:r>
              <w:t>0.9 in (provvisorio — da verificare/aumentare in base al numero di pagine finale: KDP richiede più gutter su libri più spessi)</w:t>
            </w:r>
          </w:p>
        </w:tc>
      </w:tr>
    </w:tbl>
    <w:p>
      <w:r>
        <w:rPr>
          <w:b w:val="0"/>
          <w:i/>
          <w:sz w:val="19"/>
        </w:rPr>
        <w:t>Pagine sinistre (verso) e destre (recto) hanno margini invertiti (interno verso la rilegatura, esterno verso il bordo taglio) — non usare margini simmetrici.</w:t>
      </w:r>
    </w:p>
    <w:p/>
    <w:p>
      <w:pPr>
        <w:pStyle w:val="Heading1"/>
      </w:pPr>
      <w:r>
        <w:rPr>
          <w:color w:val="A23B26"/>
        </w:rPr>
        <w:t>3. Palette colori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Hex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Carta (sfondo pagina)</w:t>
            </w:r>
          </w:p>
        </w:tc>
        <w:tc>
          <w:tcPr>
            <w:tcW w:type="dxa" w:w="2880"/>
            <w:shd w:val="clear" w:fill="FAF3E4"/>
          </w:tcPr>
          <w:p>
            <w:r>
              <w:t>#FAF3E4</w:t>
            </w:r>
          </w:p>
        </w:tc>
        <w:tc>
          <w:tcPr>
            <w:tcW w:type="dxa" w:w="2880"/>
          </w:tcPr>
          <w:p>
            <w:r>
              <w:t>Fondo di ogni pagina, con leggerissima texture/grana</w:t>
            </w:r>
          </w:p>
        </w:tc>
      </w:tr>
      <w:tr>
        <w:tc>
          <w:tcPr>
            <w:tcW w:type="dxa" w:w="2880"/>
          </w:tcPr>
          <w:p>
            <w:r>
              <w:t>Pannello kraft</w:t>
            </w:r>
          </w:p>
        </w:tc>
        <w:tc>
          <w:tcPr>
            <w:tcW w:type="dxa" w:w="2880"/>
            <w:shd w:val="clear" w:fill="EFE1C3"/>
          </w:tcPr>
          <w:p>
            <w:r>
              <w:t>#EFE1C3 / #F3E7CE</w:t>
            </w:r>
          </w:p>
        </w:tc>
        <w:tc>
          <w:tcPr>
            <w:tcW w:type="dxa" w:w="2880"/>
          </w:tcPr>
          <w:p>
            <w:r>
              <w:t>Sfondo box nutrizione/conservazione, box ingredienti su pagine dense</w:t>
            </w:r>
          </w:p>
        </w:tc>
      </w:tr>
      <w:tr>
        <w:tc>
          <w:tcPr>
            <w:tcW w:type="dxa" w:w="2880"/>
          </w:tcPr>
          <w:p>
            <w:r>
              <w:t>Inchiostro</w:t>
            </w:r>
          </w:p>
        </w:tc>
        <w:tc>
          <w:tcPr>
            <w:tcW w:type="dxa" w:w="2880"/>
            <w:shd w:val="clear" w:fill="2E2014"/>
          </w:tcPr>
          <w:p>
            <w:r>
              <w:t>#2E2014</w:t>
            </w:r>
          </w:p>
        </w:tc>
        <w:tc>
          <w:tcPr>
            <w:tcW w:type="dxa" w:w="2880"/>
          </w:tcPr>
          <w:p>
            <w:r>
              <w:t>Testo principale, titoli</w:t>
            </w:r>
          </w:p>
        </w:tc>
      </w:tr>
      <w:tr>
        <w:tc>
          <w:tcPr>
            <w:tcW w:type="dxa" w:w="2880"/>
          </w:tcPr>
          <w:p>
            <w:r>
              <w:t>Inchiostro tenue</w:t>
            </w:r>
          </w:p>
        </w:tc>
        <w:tc>
          <w:tcPr>
            <w:tcW w:type="dxa" w:w="2880"/>
            <w:shd w:val="clear" w:fill="5C4A38"/>
          </w:tcPr>
          <w:p>
            <w:r>
              <w:t>#5C4A38</w:t>
            </w:r>
          </w:p>
        </w:tc>
        <w:tc>
          <w:tcPr>
            <w:tcW w:type="dxa" w:w="2880"/>
          </w:tcPr>
          <w:p>
            <w:r>
              <w:t>Testo secondario, corpo introduzioni</w:t>
            </w:r>
          </w:p>
        </w:tc>
      </w:tr>
      <w:tr>
        <w:tc>
          <w:tcPr>
            <w:tcW w:type="dxa" w:w="2880"/>
          </w:tcPr>
          <w:p>
            <w:r>
              <w:t>Terracotta / rosso fienile</w:t>
            </w:r>
          </w:p>
        </w:tc>
        <w:tc>
          <w:tcPr>
            <w:tcW w:type="dxa" w:w="2880"/>
            <w:shd w:val="clear" w:fill="A23B26"/>
          </w:tcPr>
          <w:p>
            <w:r>
              <w:t>#A23B26</w:t>
            </w:r>
          </w:p>
        </w:tc>
        <w:tc>
          <w:tcPr>
            <w:tcW w:type="dxa" w:w="2880"/>
          </w:tcPr>
          <w:p>
            <w:r>
              <w:t>Colore d'accento primario: numeri capitolo, numeri istruzioni, pallini ingredienti, sottolineature titoli sezione</w:t>
            </w:r>
          </w:p>
        </w:tc>
      </w:tr>
      <w:tr>
        <w:tc>
          <w:tcPr>
            <w:tcW w:type="dxa" w:w="2880"/>
          </w:tcPr>
          <w:p>
            <w:r>
              <w:t>Terracotta scuro</w:t>
            </w:r>
          </w:p>
        </w:tc>
        <w:tc>
          <w:tcPr>
            <w:tcW w:type="dxa" w:w="2880"/>
            <w:shd w:val="clear" w:fill="7A2A19"/>
          </w:tcPr>
          <w:p>
            <w:r>
              <w:t>#7A2A19</w:t>
            </w:r>
          </w:p>
        </w:tc>
        <w:tc>
          <w:tcPr>
            <w:tcW w:type="dxa" w:w="2880"/>
          </w:tcPr>
          <w:p>
            <w:r>
              <w:t>Quantità in grassetto negli ingredienti</w:t>
            </w:r>
          </w:p>
        </w:tc>
      </w:tr>
      <w:tr>
        <w:tc>
          <w:tcPr>
            <w:tcW w:type="dxa" w:w="2880"/>
          </w:tcPr>
          <w:p>
            <w:r>
              <w:t>Salvia</w:t>
            </w:r>
          </w:p>
        </w:tc>
        <w:tc>
          <w:tcPr>
            <w:tcW w:type="dxa" w:w="2880"/>
            <w:shd w:val="clear" w:fill="66723F"/>
          </w:tcPr>
          <w:p>
            <w:r>
              <w:t>#66723F</w:t>
            </w:r>
          </w:p>
        </w:tc>
        <w:tc>
          <w:tcPr>
            <w:tcW w:type="dxa" w:w="2880"/>
          </w:tcPr>
          <w:p>
            <w:r>
              <w:t>Accento secondario: “What to Add”, box conservazione</w:t>
            </w:r>
          </w:p>
        </w:tc>
      </w:tr>
      <w:tr>
        <w:tc>
          <w:tcPr>
            <w:tcW w:type="dxa" w:w="2880"/>
          </w:tcPr>
          <w:p>
            <w:r>
              <w:t>Salvia scuro</w:t>
            </w:r>
          </w:p>
        </w:tc>
        <w:tc>
          <w:tcPr>
            <w:tcW w:type="dxa" w:w="2880"/>
            <w:shd w:val="clear" w:fill="4A5530"/>
          </w:tcPr>
          <w:p>
            <w:r>
              <w:t>#4A5530</w:t>
            </w:r>
          </w:p>
        </w:tc>
        <w:tc>
          <w:tcPr>
            <w:tcW w:type="dxa" w:w="2880"/>
          </w:tcPr>
          <w:p>
            <w:r>
              <w:t>Etichetta “Storage”</w:t>
            </w:r>
          </w:p>
        </w:tc>
      </w:tr>
      <w:tr>
        <w:tc>
          <w:tcPr>
            <w:tcW w:type="dxa" w:w="2880"/>
          </w:tcPr>
          <w:p>
            <w:r>
              <w:t>Oro/senape</w:t>
            </w:r>
          </w:p>
        </w:tc>
        <w:tc>
          <w:tcPr>
            <w:tcW w:type="dxa" w:w="2880"/>
            <w:shd w:val="clear" w:fill="B4802A"/>
          </w:tcPr>
          <w:p>
            <w:r>
              <w:t>#B4802A</w:t>
            </w:r>
          </w:p>
        </w:tc>
        <w:tc>
          <w:tcPr>
            <w:tcW w:type="dxa" w:w="2880"/>
          </w:tcPr>
          <w:p>
            <w:r>
              <w:t>Etichetta “Nutrition”</w:t>
            </w:r>
          </w:p>
        </w:tc>
      </w:tr>
      <w:tr>
        <w:tc>
          <w:tcPr>
            <w:tcW w:type="dxa" w:w="2880"/>
          </w:tcPr>
          <w:p>
            <w:r>
              <w:t>Linea/hairline</w:t>
            </w:r>
          </w:p>
        </w:tc>
        <w:tc>
          <w:tcPr>
            <w:tcW w:type="dxa" w:w="2880"/>
            <w:shd w:val="clear" w:fill="D9C7A3"/>
          </w:tcPr>
          <w:p>
            <w:r>
              <w:t>#D9C7A3</w:t>
            </w:r>
          </w:p>
        </w:tc>
        <w:tc>
          <w:tcPr>
            <w:tcW w:type="dxa" w:w="2880"/>
          </w:tcPr>
          <w:p>
            <w:r>
              <w:t>Separatori sottili tra ingredienti, divider</w:t>
            </w:r>
          </w:p>
        </w:tc>
      </w:tr>
    </w:tbl>
    <w:p/>
    <w:p>
      <w:pPr>
        <w:pStyle w:val="Heading1"/>
      </w:pPr>
      <w:r>
        <w:rPr>
          <w:color w:val="A23B26"/>
        </w:rPr>
        <w:t>4. Font</w:t>
      </w:r>
    </w:p>
    <w:p>
      <w:pPr>
        <w:pStyle w:val="ListBullet"/>
      </w:pPr>
      <w:r>
        <w:t xml:space="preserve">Titoli / display: </w:t>
      </w:r>
      <w:r>
        <w:rPr>
          <w:b/>
        </w:rPr>
        <w:t>Fraunces</w:t>
      </w:r>
      <w:r>
        <w:t xml:space="preserve"> (serif variabile, pesi 300–900, con corsivo per il numero di capitolo — dà quel tocco “vecchio ricettario di famiglia”)</w:t>
      </w:r>
    </w:p>
    <w:p>
      <w:pPr>
        <w:pStyle w:val="ListBullet"/>
      </w:pPr>
      <w:r>
        <w:t xml:space="preserve">Testo / interfaccia: </w:t>
      </w:r>
      <w:r>
        <w:rPr>
          <w:b/>
        </w:rPr>
        <w:t>Public Sans</w:t>
      </w:r>
      <w:r>
        <w:t xml:space="preserve"> (sans variabile, pesi 300–900)</w:t>
      </w:r>
    </w:p>
    <w:p>
      <w:r>
        <w:rPr>
          <w:b w:val="0"/>
          <w:i/>
          <w:sz w:val="19"/>
        </w:rPr>
        <w:t>I file dei font (.woff2, versione web) sono nella cartella /fonts del progetto; se lavori in InDesign/Word userai le versioni desktop equivalenti (Fraunces e Public Sans sono entrambi open-source, scaricabili da Google Fonts).</w:t>
      </w:r>
    </w:p>
    <w:p/>
    <w:p>
      <w:pPr>
        <w:pStyle w:val="Heading1"/>
      </w:pPr>
      <w:r>
        <w:rPr>
          <w:color w:val="A23B26"/>
        </w:rPr>
        <w:t>5. Scala tipografica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Elemento</w:t>
            </w:r>
          </w:p>
        </w:tc>
        <w:tc>
          <w:tcPr>
            <w:tcW w:type="dxa" w:w="2160"/>
          </w:tcPr>
          <w:p>
            <w:r>
              <w:t>Font</w:t>
            </w:r>
          </w:p>
        </w:tc>
        <w:tc>
          <w:tcPr>
            <w:tcW w:type="dxa" w:w="2160"/>
          </w:tcPr>
          <w:p>
            <w:r>
              <w:t>Corpo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Numero di capitolo</w:t>
            </w:r>
          </w:p>
        </w:tc>
        <w:tc>
          <w:tcPr>
            <w:tcW w:type="dxa" w:w="2160"/>
          </w:tcPr>
          <w:p>
            <w:r>
              <w:t>Fraunces corsivo, peso ~350</w:t>
            </w:r>
          </w:p>
        </w:tc>
        <w:tc>
          <w:tcPr>
            <w:tcW w:type="dxa" w:w="2160"/>
          </w:tcPr>
          <w:p>
            <w:r>
              <w:t>150 pt</w:t>
            </w:r>
          </w:p>
        </w:tc>
        <w:tc>
          <w:tcPr>
            <w:tcW w:type="dxa" w:w="2160"/>
          </w:tcPr>
          <w:p>
            <w:r>
              <w:t>Colore terracotta, es. “01”</w:t>
            </w:r>
          </w:p>
        </w:tc>
      </w:tr>
      <w:tr>
        <w:tc>
          <w:tcPr>
            <w:tcW w:type="dxa" w:w="2160"/>
          </w:tcPr>
          <w:p>
            <w:r>
              <w:t>Titolo di capitolo</w:t>
            </w:r>
          </w:p>
        </w:tc>
        <w:tc>
          <w:tcPr>
            <w:tcW w:type="dxa" w:w="2160"/>
          </w:tcPr>
          <w:p>
            <w:r>
              <w:t>Fraunces, peso 600</w:t>
            </w:r>
          </w:p>
        </w:tc>
        <w:tc>
          <w:tcPr>
            <w:tcW w:type="dxa" w:w="2160"/>
          </w:tcPr>
          <w:p>
            <w:r>
              <w:t>38 pt</w:t>
            </w:r>
          </w:p>
        </w:tc>
        <w:tc>
          <w:tcPr>
            <w:tcW w:type="dxa" w:w="2160"/>
          </w:tcPr>
          <w:p>
            <w:r>
              <w:t>Interlinea stretta (1.05)</w:t>
            </w:r>
          </w:p>
        </w:tc>
      </w:tr>
      <w:tr>
        <w:tc>
          <w:tcPr>
            <w:tcW w:type="dxa" w:w="2160"/>
          </w:tcPr>
          <w:p>
            <w:r>
              <w:t>Titolo ricetta</w:t>
            </w:r>
          </w:p>
        </w:tc>
        <w:tc>
          <w:tcPr>
            <w:tcW w:type="dxa" w:w="2160"/>
          </w:tcPr>
          <w:p>
            <w:r>
              <w:t>Fraunces, peso 600</w:t>
            </w:r>
          </w:p>
        </w:tc>
        <w:tc>
          <w:tcPr>
            <w:tcW w:type="dxa" w:w="2160"/>
          </w:tcPr>
          <w:p>
            <w:r>
              <w:t>27 pt (22 pt se molto lungo)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Introduzione ricetta</w:t>
            </w:r>
          </w:p>
        </w:tc>
        <w:tc>
          <w:tcPr>
            <w:tcW w:type="dxa" w:w="2160"/>
          </w:tcPr>
          <w:p>
            <w:r>
              <w:t>Fraunces corsivo, peso 400</w:t>
            </w:r>
          </w:p>
        </w:tc>
        <w:tc>
          <w:tcPr>
            <w:tcW w:type="dxa" w:w="2160"/>
          </w:tcPr>
          <w:p>
            <w:r>
              <w:t>12.5 pt</w:t>
            </w:r>
          </w:p>
        </w:tc>
        <w:tc>
          <w:tcPr>
            <w:tcW w:type="dxa" w:w="2160"/>
          </w:tcPr>
          <w:p>
            <w:r>
              <w:t>Colore inchiostro tenue</w:t>
            </w:r>
          </w:p>
        </w:tc>
      </w:tr>
      <w:tr>
        <w:tc>
          <w:tcPr>
            <w:tcW w:type="dxa" w:w="2160"/>
          </w:tcPr>
          <w:p>
            <w:r>
              <w:t>Etichetta di sezione</w:t>
            </w:r>
          </w:p>
        </w:tc>
        <w:tc>
          <w:tcPr>
            <w:tcW w:type="dxa" w:w="2160"/>
          </w:tcPr>
          <w:p>
            <w:r>
              <w:t>Public Sans, peso 800, maiuscolo</w:t>
            </w:r>
          </w:p>
        </w:tc>
        <w:tc>
          <w:tcPr>
            <w:tcW w:type="dxa" w:w="2160"/>
          </w:tcPr>
          <w:p>
            <w:r>
              <w:t>10.5 pt</w:t>
            </w:r>
          </w:p>
        </w:tc>
        <w:tc>
          <w:tcPr>
            <w:tcW w:type="dxa" w:w="2160"/>
          </w:tcPr>
          <w:p>
            <w:r>
              <w:t>Sottolineatura 1.4pt terracotta (o salvia per “What to Add”)</w:t>
            </w:r>
          </w:p>
        </w:tc>
      </w:tr>
      <w:tr>
        <w:tc>
          <w:tcPr>
            <w:tcW w:type="dxa" w:w="2160"/>
          </w:tcPr>
          <w:p>
            <w:r>
              <w:t>Ingredienti / istruzioni</w:t>
            </w:r>
          </w:p>
        </w:tc>
        <w:tc>
          <w:tcPr>
            <w:tcW w:type="dxa" w:w="2160"/>
          </w:tcPr>
          <w:p>
            <w:r>
              <w:t>Public Sans, peso 400</w:t>
            </w:r>
          </w:p>
        </w:tc>
        <w:tc>
          <w:tcPr>
            <w:tcW w:type="dxa" w:w="2160"/>
          </w:tcPr>
          <w:p>
            <w:r>
              <w:t>10.3 pt</w:t>
            </w:r>
          </w:p>
        </w:tc>
        <w:tc>
          <w:tcPr>
            <w:tcW w:type="dxa" w:w="2160"/>
          </w:tcPr>
          <w:p>
            <w:r>
              <w:t>Quantità in grassetto, colore terracotta scuro</w:t>
            </w:r>
          </w:p>
        </w:tc>
      </w:tr>
      <w:tr>
        <w:tc>
          <w:tcPr>
            <w:tcW w:type="dxa" w:w="2160"/>
          </w:tcPr>
          <w:p>
            <w:r>
              <w:t>Servings / Yield (etichetta)</w:t>
            </w:r>
          </w:p>
        </w:tc>
        <w:tc>
          <w:tcPr>
            <w:tcW w:type="dxa" w:w="2160"/>
          </w:tcPr>
          <w:p>
            <w:r>
              <w:t>Public Sans, peso 700, maiuscolo</w:t>
            </w:r>
          </w:p>
        </w:tc>
        <w:tc>
          <w:tcPr>
            <w:tcW w:type="dxa" w:w="2160"/>
          </w:tcPr>
          <w:p>
            <w:r>
              <w:t>8 pt</w:t>
            </w:r>
          </w:p>
        </w:tc>
        <w:tc>
          <w:tcPr>
            <w:tcW w:type="dxa" w:w="2160"/>
          </w:tcPr>
          <w:p>
            <w:r>
              <w:t>Colore salvia scuro</w:t>
            </w:r>
          </w:p>
        </w:tc>
      </w:tr>
      <w:tr>
        <w:tc>
          <w:tcPr>
            <w:tcW w:type="dxa" w:w="2160"/>
          </w:tcPr>
          <w:p>
            <w:r>
              <w:t>Servings / Yield (valore)</w:t>
            </w:r>
          </w:p>
        </w:tc>
        <w:tc>
          <w:tcPr>
            <w:tcW w:type="dxa" w:w="2160"/>
          </w:tcPr>
          <w:p>
            <w:r>
              <w:t>Public Sans, peso 500</w:t>
            </w:r>
          </w:p>
        </w:tc>
        <w:tc>
          <w:tcPr>
            <w:tcW w:type="dxa" w:w="2160"/>
          </w:tcPr>
          <w:p>
            <w:r>
              <w:t>9.5 pt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Nutrizione / Conservazione</w:t>
            </w:r>
          </w:p>
        </w:tc>
        <w:tc>
          <w:tcPr>
            <w:tcW w:type="dxa" w:w="2160"/>
          </w:tcPr>
          <w:p>
            <w:r>
              <w:t>Public Sans, peso 500</w:t>
            </w:r>
          </w:p>
        </w:tc>
        <w:tc>
          <w:tcPr>
            <w:tcW w:type="dxa" w:w="2160"/>
          </w:tcPr>
          <w:p>
            <w:r>
              <w:t>9.3 pt</w:t>
            </w:r>
          </w:p>
        </w:tc>
        <w:tc>
          <w:tcPr>
            <w:tcW w:type="dxa" w:w="2160"/>
          </w:tcPr>
          <w:p>
            <w:r>
              <w:t>Dentro box kraft con bordo tratteggiato in alto</w:t>
            </w:r>
          </w:p>
        </w:tc>
      </w:tr>
      <w:tr>
        <w:tc>
          <w:tcPr>
            <w:tcW w:type="dxa" w:w="2160"/>
          </w:tcPr>
          <w:p>
            <w:r>
              <w:t>Testatina (running head)</w:t>
            </w:r>
          </w:p>
        </w:tc>
        <w:tc>
          <w:tcPr>
            <w:tcW w:type="dxa" w:w="2160"/>
          </w:tcPr>
          <w:p>
            <w:r>
              <w:t>Public Sans, peso 600, maiuscolo</w:t>
            </w:r>
          </w:p>
        </w:tc>
        <w:tc>
          <w:tcPr>
            <w:tcW w:type="dxa" w:w="2160"/>
          </w:tcPr>
          <w:p>
            <w:r>
              <w:t>8 pt</w:t>
            </w:r>
          </w:p>
        </w:tc>
        <w:tc>
          <w:tcPr>
            <w:tcW w:type="dxa" w:w="2160"/>
          </w:tcPr>
          <w:p>
            <w:r>
              <w:t>Letter-spacing largo, colore inchiostro tenue</w:t>
            </w:r>
          </w:p>
        </w:tc>
      </w:tr>
      <w:tr>
        <w:tc>
          <w:tcPr>
            <w:tcW w:type="dxa" w:w="2160"/>
          </w:tcPr>
          <w:p>
            <w:r>
              <w:t>Numero di pagina (folio)</w:t>
            </w:r>
          </w:p>
        </w:tc>
        <w:tc>
          <w:tcPr>
            <w:tcW w:type="dxa" w:w="2160"/>
          </w:tcPr>
          <w:p>
            <w:r>
              <w:t>Public Sans, peso 600</w:t>
            </w:r>
          </w:p>
        </w:tc>
        <w:tc>
          <w:tcPr>
            <w:tcW w:type="dxa" w:w="2160"/>
          </w:tcPr>
          <w:p>
            <w:r>
              <w:t>9 pt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A23B26"/>
        </w:rPr>
        <w:t>6. Struttura di una pagina ricetta</w:t>
      </w:r>
    </w:p>
    <w:p>
      <w:r>
        <w:rPr>
          <w:b w:val="0"/>
          <w:i w:val="0"/>
          <w:sz w:val="21"/>
        </w:rPr>
        <w:t>Impaginazione standard (“normale”):</w:t>
      </w:r>
    </w:p>
    <w:p>
      <w:pPr>
        <w:pStyle w:val="ListBullet"/>
      </w:pPr>
      <w:r>
        <w:t>Eyebrow: “Chapter N · Recipe NN” in maiuscolo piccolo</w:t>
      </w:r>
    </w:p>
    <w:p>
      <w:pPr>
        <w:pStyle w:val="ListBullet"/>
      </w:pPr>
      <w:r>
        <w:t>Titolo ricetta</w:t>
      </w:r>
    </w:p>
    <w:p>
      <w:pPr>
        <w:pStyle w:val="ListBullet"/>
      </w:pPr>
      <w:r>
        <w:t>Paragrafo introduttivo in corsivo (quando presente nel testo)</w:t>
      </w:r>
    </w:p>
    <w:p>
      <w:pPr>
        <w:pStyle w:val="ListBullet"/>
      </w:pPr>
      <w:r>
        <w:t>Riga meta: Servings + Serving Size, oppure Yield (i campi presenti variano da ricetta a ricetta, vedi punto 8)</w:t>
      </w:r>
    </w:p>
    <w:p>
      <w:pPr>
        <w:pStyle w:val="ListBullet"/>
      </w:pPr>
      <w:r>
        <w:t>Divider sottile</w:t>
      </w:r>
    </w:p>
    <w:p>
      <w:pPr>
        <w:pStyle w:val="ListBullet"/>
      </w:pPr>
      <w:r>
        <w:t>Due colonne: a sinistra “What's in the Jar?” (o “Ingredients”) + eventuale “What to Add”, con spazio per una foto piccola del barattolo; a destra “Instructions” numerate con pallini pieni colorati</w:t>
      </w:r>
    </w:p>
    <w:p>
      <w:pPr>
        <w:pStyle w:val="ListBullet"/>
      </w:pPr>
      <w:r>
        <w:t>In fondo, affiancati: box “Nutrition” (quando presente) e box “Storage”, entrambi in stile “scheda ricetta” — fondo kraft, bordo tratteggiato superiore</w:t>
      </w:r>
    </w:p>
    <w:p/>
    <w:p>
      <w:r>
        <w:rPr>
          <w:b w:val="0"/>
          <w:i w:val="0"/>
          <w:sz w:val="21"/>
        </w:rPr>
        <w:t>Varianti da usare quando il contenuto lo richiede (non forzare tutte le ricette nello stesso stampo):</w:t>
      </w:r>
    </w:p>
    <w:p>
      <w:pPr>
        <w:pStyle w:val="ListBullet"/>
      </w:pPr>
      <w:r>
        <w:t>Ricetta con foto protagonista: foto grande a piena larghezza in testa alla pagina (fino al bordo/bleed), testo sotto — adatta a ricette con pochi campi/testo breve</w:t>
      </w:r>
    </w:p>
    <w:p>
      <w:pPr>
        <w:pStyle w:val="ListBullet"/>
      </w:pPr>
      <w:r>
        <w:t>Ricetta con molto testo: foto ridotta o assente, per lasciare spazio a liste di ingredienti/istruzioni più lunghe senza affollare la pagina</w:t>
      </w:r>
    </w:p>
    <w:p>
      <w:pPr>
        <w:pStyle w:val="ListBullet"/>
      </w:pPr>
      <w:r>
        <w:t>Ricette brevi possono condividere una pagina o una doppia pagina con un'altra ricetta breve</w:t>
      </w:r>
    </w:p>
    <w:p/>
    <w:p>
      <w:pPr>
        <w:pStyle w:val="Heading1"/>
      </w:pPr>
      <w:r>
        <w:rPr>
          <w:color w:val="A23B26"/>
        </w:rPr>
        <w:t>7. Apertura di capitolo</w:t>
      </w:r>
    </w:p>
    <w:p>
      <w:pPr>
        <w:pStyle w:val="ListBullet"/>
      </w:pPr>
      <w:r>
        <w:t>Numero di capitolo enorme in corsivo (vedi scala tipografica) + kicker “Chapter One” ecc. + titolo del capitolo</w:t>
      </w:r>
    </w:p>
    <w:p>
      <w:pPr>
        <w:pStyle w:val="ListBullet"/>
      </w:pPr>
      <w:r>
        <w:t>Piccola striscia decorativa a quadretti (gingham rosso/crema) sotto il titolo — usarla con parsimonia, solo qui</w:t>
      </w:r>
    </w:p>
    <w:p>
      <w:pPr>
        <w:pStyle w:val="ListBullet"/>
      </w:pPr>
      <w:r>
        <w:t>Foto a piena pagina/bleed sul lato opposto al testo</w:t>
      </w:r>
    </w:p>
    <w:p>
      <w:pPr>
        <w:pStyle w:val="ListBullet"/>
      </w:pPr>
      <w:r>
        <w:t>Nessuna testatina né numero di pagina sulle pagine di apertura capitolo</w:t>
      </w:r>
    </w:p>
    <w:p/>
    <w:p>
      <w:r>
        <w:rPr>
          <w:b w:val="0"/>
          <w:i w:val="0"/>
          <w:sz w:val="21"/>
        </w:rPr>
        <w:t>I 6 capitoli, nell'ordine:</w:t>
      </w:r>
    </w:p>
    <w:p>
      <w:pPr>
        <w:pStyle w:val="ListBullet"/>
      </w:pPr>
      <w:r>
        <w:t>Capitolo 1 — Meal-Ready Dry Mixes &amp; Pantry Helpers (31 ricette)</w:t>
      </w:r>
    </w:p>
    <w:p>
      <w:pPr>
        <w:pStyle w:val="ListBullet"/>
      </w:pPr>
      <w:r>
        <w:t>Capitolo 2 — Seasoning Blends &amp; Spice Mixes (21 ricette)</w:t>
      </w:r>
    </w:p>
    <w:p>
      <w:pPr>
        <w:pStyle w:val="ListBullet"/>
      </w:pPr>
      <w:r>
        <w:t>Capitolo 3 — Breakfast, Baking &amp; Bread Mixes (15 ricette)</w:t>
      </w:r>
    </w:p>
    <w:p>
      <w:pPr>
        <w:pStyle w:val="ListBullet"/>
      </w:pPr>
      <w:r>
        <w:t>Capitolo 4 — Soup, Stew &amp; Chili Mixes (13 ricette)</w:t>
      </w:r>
    </w:p>
    <w:p>
      <w:pPr>
        <w:pStyle w:val="ListBullet"/>
      </w:pPr>
      <w:r>
        <w:t>Capitolo 5 — Sauce, Gravy, Dip &amp; Dressing Mixes (12 ricette)</w:t>
      </w:r>
    </w:p>
    <w:p>
      <w:pPr>
        <w:pStyle w:val="ListBullet"/>
      </w:pPr>
      <w:r>
        <w:t>Capitolo 6 — Gluten-Free &amp; Dairy-Free Mixes (8 ricette)</w:t>
      </w:r>
    </w:p>
    <w:p/>
    <w:p>
      <w:pPr>
        <w:pStyle w:val="Heading1"/>
      </w:pPr>
      <w:r>
        <w:rPr>
          <w:color w:val="A23B26"/>
        </w:rPr>
        <w:t>8. Testatine, numeri di pagina e campi mancanti</w:t>
      </w:r>
    </w:p>
    <w:p>
      <w:pPr>
        <w:pStyle w:val="ListBullet"/>
      </w:pPr>
      <w:r>
        <w:t>Testatina pagina sinistra (verso): capitolo/categoria — es. “Chapter One · Meal-Ready Dry Mixes”</w:t>
      </w:r>
    </w:p>
    <w:p>
      <w:pPr>
        <w:pStyle w:val="ListBullet"/>
      </w:pPr>
      <w:r>
        <w:t>Testatina pagina destra (recto): nome della ricetta</w:t>
      </w:r>
    </w:p>
    <w:p>
      <w:pPr>
        <w:pStyle w:val="ListBullet"/>
      </w:pPr>
      <w:r>
        <w:t>Numero di pagina in basso, lato esterno</w:t>
      </w:r>
    </w:p>
    <w:p>
      <w:pPr>
        <w:pStyle w:val="ListBullet"/>
      </w:pPr>
      <w:r>
        <w:t>Niente testatina/numero di pagina su: apertura di capitolo, e su pagine dove una foto arriva fino al bordo superiore (occuperebbe lo stesso spazio)</w:t>
      </w:r>
    </w:p>
    <w:p/>
    <w:p>
      <w:r>
        <w:rPr>
          <w:b w:val="0"/>
          <w:i w:val="0"/>
          <w:sz w:val="21"/>
        </w:rPr>
        <w:t xml:space="preserve">Importante: non tutte le ricette hanno tutti i campi. Alcune (soprattutto nei capitoli aggiunti dai batch più recenti) usano “Yield” invece di “Servings/Serving Size”, usano “Ingredients” invece di “What's in the Jar?/What to Add”, oppure non hanno il box Nutrition. Questo è corretto così — sono ricette del manoscritto originale scritte con meno dettaglio, non un errore di trascrizione: </w:t>
      </w:r>
      <w:r>
        <w:rPr>
          <w:b/>
        </w:rPr>
        <w:t>non va inventato nulla per riempire i campi mancanti.</w:t>
      </w:r>
    </w:p>
    <w:p/>
    <w:p>
      <w:pPr>
        <w:pStyle w:val="Heading1"/>
      </w:pPr>
      <w:r>
        <w:rPr>
          <w:color w:val="A23B26"/>
        </w:rPr>
        <w:t>9. Immagini</w:t>
      </w:r>
    </w:p>
    <w:p>
      <w:pPr>
        <w:pStyle w:val="ListBullet"/>
      </w:pPr>
      <w:r>
        <w:t>Il file che hai ricevuto NON contiene immagini — arriveranno separatamente</w:t>
      </w:r>
    </w:p>
    <w:p>
      <w:pPr>
        <w:pStyle w:val="ListBullet"/>
      </w:pPr>
      <w:r>
        <w:t>Lascia lo spazio impostato secondo lo schema sopra (foto piccola per ricette normali, foto grande per aperture di capitolo/ricette “hero”), anche solo con un box segnaposto colorato</w:t>
      </w:r>
    </w:p>
    <w:p>
      <w:pPr>
        <w:pStyle w:val="ListBullet"/>
      </w:pPr>
      <w:r>
        <w:t>Non serve preoccuparsi della risoluzione delle foto per ora: verranno inserite già pronte per la stampa (300 DPI alla dimensione di impaginazione)</w:t>
      </w:r>
    </w:p>
    <w:p/>
    <w:p>
      <w:pPr>
        <w:pStyle w:val="Heading1"/>
      </w:pPr>
      <w:r>
        <w:rPr>
          <w:color w:val="A23B26"/>
        </w:rPr>
        <w:t>10. Cosa NON toccare</w:t>
      </w:r>
    </w:p>
    <w:p>
      <w:pPr>
        <w:pStyle w:val="ListBullet"/>
      </w:pPr>
      <w:r>
        <w:t>Non modificare quantità, frazioni (½ ¼ ¾ ⅓ ecc.), tempi o testo delle istruzioni — il manoscritto è definitivo</w:t>
      </w:r>
    </w:p>
    <w:p>
      <w:pPr>
        <w:pStyle w:val="ListBullet"/>
      </w:pPr>
      <w:r>
        <w:t>Non correggere lo stile/voce dell'autrice, anche se una frase sembra migliorabile</w:t>
      </w:r>
    </w:p>
    <w:p>
      <w:pPr>
        <w:pStyle w:val="ListBullet"/>
      </w:pPr>
      <w:r>
        <w:t>Non unire o eliminare ricette, anche quelle che sembrano molto simili tra loro</w:t>
      </w:r>
    </w:p>
    <w:p>
      <w:pPr>
        <w:pStyle w:val="ListBullet"/>
      </w:pPr>
      <w:r>
        <w:t>Se noti un possibile errore nel contenuto (es. due ricette con ingredienti identici, un dato mancante che sembra un errore), segnalalo a me invece di correggerlo o ometterlo tu — c'è già un caso così nel Capitolo 6 che sto verificando con il cliente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