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1B2A4A"/>
          <w:spacing w:val="120"/>
          <w:sz w:val="22"/>
          <w:szCs w:val="22"/>
        </w:rPr>
        <w:t xml:space="preserve">ELITE PUBLISHING</w:t>
      </w:r>
    </w:p>
    <w:p>
      <w:pPr>
        <w:pBdr>
          <w:bottom w:val="single" w:color="B08D57" w:sz="8" w:space="1"/>
        </w:pBdr>
        <w:spacing w:after="1900"/>
      </w:pPr>
    </w:p>
    <w:p>
      <w:pPr>
        <w:spacing w:after="160"/>
      </w:pPr>
      <w:r>
        <w:rPr>
          <w:rFonts w:ascii="Calibri" w:cs="Calibri" w:eastAsia="Calibri" w:hAnsi="Calibri"/>
          <w:b/>
          <w:bCs/>
          <w:color w:val="B08D57"/>
          <w:spacing w:val="60"/>
          <w:sz w:val="18"/>
          <w:szCs w:val="18"/>
        </w:rPr>
        <w:t xml:space="preserve">AMAZON METADATA REPORT</w:t>
      </w:r>
    </w:p>
    <w:p>
      <w:pPr>
        <w:spacing w:after="80"/>
      </w:pPr>
      <w:r>
        <w:rPr>
          <w:rFonts w:ascii="Cambria" w:cs="Cambria" w:eastAsia="Cambria" w:hAnsi="Cambria"/>
          <w:color w:val="1B2A4A"/>
          <w:sz w:val="64"/>
          <w:szCs w:val="64"/>
        </w:rPr>
        <w:t xml:space="preserve">The Crusades</w:t>
      </w:r>
    </w:p>
    <w:p>
      <w:pPr>
        <w:spacing w:after="500"/>
      </w:pPr>
      <w:r>
        <w:rPr>
          <w:rFonts w:ascii="Cambria" w:cs="Cambria" w:eastAsia="Cambria" w:hAnsi="Cambria"/>
          <w:i/>
          <w:iCs/>
          <w:color w:val="333A40"/>
          <w:sz w:val="30"/>
          <w:szCs w:val="30"/>
        </w:rPr>
        <w:t xml:space="preserve">A trilogy by David R. Bardi</w:t>
      </w:r>
    </w:p>
    <w:p>
      <w:pPr>
        <w:spacing w:after="80"/>
      </w:pPr>
      <w:r>
        <w:rPr>
          <w:rFonts w:ascii="Calibri" w:cs="Calibri" w:eastAsia="Calibri" w:hAnsi="Calibri"/>
          <w:color w:val="333A40"/>
          <w:sz w:val="20"/>
          <w:szCs w:val="20"/>
        </w:rPr>
        <w:t xml:space="preserve">Title &amp; Subtitle  ·  Amazon Descriptions  ·  Categories  ·  Seven Backend Keywords</w:t>
      </w:r>
    </w:p>
    <w:p>
      <w:pPr>
        <w:spacing w:after="30"/>
      </w:pPr>
      <w:r>
        <w:rPr>
          <w:rFonts w:ascii="Calibri" w:cs="Calibri" w:eastAsia="Calibri" w:hAnsi="Calibri"/>
          <w:color w:val="6B7280"/>
          <w:sz w:val="20"/>
          <w:szCs w:val="20"/>
        </w:rPr>
        <w:t xml:space="preserve">Book One  —  Origins, Society, and Politics</w:t>
      </w:r>
    </w:p>
    <w:p>
      <w:pPr>
        <w:spacing w:after="30"/>
      </w:pPr>
      <w:r>
        <w:rPr>
          <w:rFonts w:ascii="Calibri" w:cs="Calibri" w:eastAsia="Calibri" w:hAnsi="Calibri"/>
          <w:color w:val="6B7280"/>
          <w:sz w:val="20"/>
          <w:szCs w:val="20"/>
        </w:rPr>
        <w:t xml:space="preserve">Book Two  —  Logistics, Finance, and Trade</w:t>
      </w:r>
    </w:p>
    <w:p>
      <w:pPr>
        <w:spacing w:after="2600"/>
      </w:pPr>
      <w:r>
        <w:rPr>
          <w:rFonts w:ascii="Calibri" w:cs="Calibri" w:eastAsia="Calibri" w:hAnsi="Calibri"/>
          <w:color w:val="6B7280"/>
          <w:sz w:val="20"/>
          <w:szCs w:val="20"/>
        </w:rPr>
        <w:t xml:space="preserve">Book Three  —  Collision, Integration, and Institutions</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400"/>
        <w:gridCol w:w="7100"/>
      </w:tblGrid>
      <w:tr>
        <w:trPr>
          <w:cantSplit/>
        </w:trPr>
        <w:tc>
          <w:tcPr>
            <w:tcW w:type="dxa" w:w="24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Prepared for</w:t>
            </w:r>
          </w:p>
        </w:tc>
        <w:tc>
          <w:tcPr>
            <w:tcW w:type="dxa" w:w="71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Stoyan, author publishing as David R. Bardi</w:t>
            </w:r>
          </w:p>
        </w:tc>
      </w:tr>
      <w:tr>
        <w:trPr>
          <w:cantSplit/>
        </w:trPr>
        <w:tc>
          <w:tcPr>
            <w:tcW w:type="dxa" w:w="24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Primary marketplace</w:t>
            </w:r>
          </w:p>
        </w:tc>
        <w:tc>
          <w:tcPr>
            <w:tcW w:type="dxa" w:w="71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Amazon.com (United States, English), Kindle eBook and paperback</w:t>
            </w:r>
          </w:p>
        </w:tc>
      </w:tr>
      <w:tr>
        <w:trPr>
          <w:cantSplit/>
        </w:trPr>
        <w:tc>
          <w:tcPr>
            <w:tcW w:type="dxa" w:w="24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Date</w:t>
            </w:r>
          </w:p>
        </w:tc>
        <w:tc>
          <w:tcPr>
            <w:tcW w:type="dxa" w:w="71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22 October 2026</w:t>
            </w:r>
          </w:p>
        </w:tc>
      </w:tr>
      <w:tr>
        <w:trPr>
          <w:cantSplit/>
        </w:trPr>
        <w:tc>
          <w:tcPr>
            <w:tcW w:type="dxa" w:w="24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Status</w:t>
            </w:r>
          </w:p>
        </w:tc>
        <w:tc>
          <w:tcPr>
            <w:tcW w:type="dxa" w:w="71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Final recommendations. Title and subtitle changes require approval before covers and metadata are finalised.</w:t>
            </w:r>
          </w:p>
        </w:tc>
      </w:tr>
    </w:tbl>
    <w:p>
      <w:pPr>
        <w:pStyle w:val="Heading1"/>
        <w:keepNext/>
        <w:pageBreakBefore/>
      </w:pPr>
      <w:r>
        <w:t xml:space="preserve">Executive Summary</w:t>
      </w:r>
    </w:p>
    <w:p>
      <w:pPr>
        <w:spacing w:after="120" w:before="0" w:line="288"/>
      </w:pPr>
      <w:r>
        <w:rPr>
          <w:rFonts w:ascii="Calibri" w:cs="Calibri" w:eastAsia="Calibri" w:hAnsi="Calibri"/>
          <w:color w:val="333A40"/>
          <w:sz w:val="21"/>
          <w:szCs w:val="21"/>
        </w:rPr>
        <w:t xml:space="preserve">This report delivers ready-to-use Amazon metadata for the three volumes of David R. Bardi’s Crusades trilogy: title and subtitle, a description in plain text and HTML, categories for Kindle and paperback, and seven backend keyword fields per book. All recommendations are based on a full reading of the three manuscripts and on research carried out on 22 October 2026.</w:t>
      </w:r>
    </w:p>
    <w:p>
      <w:pPr>
        <w:pStyle w:val="Heading2"/>
        <w:keepNext/>
      </w:pPr>
      <w:r>
        <w:t xml:space="preserve">Recommended direction</w:t>
      </w:r>
    </w:p>
    <w:p>
      <w:pPr>
        <w:pStyle w:val="ListParagraph"/>
        <w:keepLines/>
        <w:numPr>
          <w:ilvl w:val="0"/>
          <w:numId w:val="2"/>
        </w:numPr>
        <w:spacing w:after="60" w:line="276"/>
      </w:pPr>
      <w:r>
        <w:rPr>
          <w:rFonts w:ascii="Calibri" w:cs="Calibri" w:eastAsia="Calibri" w:hAnsi="Calibri"/>
          <w:b/>
          <w:bCs/>
          <w:color w:val="333A40"/>
          <w:sz w:val="21"/>
          <w:szCs w:val="21"/>
        </w:rPr>
        <w:t xml:space="preserve">One series identity.</w:t>
      </w:r>
      <w:r>
        <w:rPr>
          <w:rFonts w:ascii="Calibri" w:cs="Calibri" w:eastAsia="Calibri" w:hAnsi="Calibri"/>
          <w:color w:val="333A40"/>
          <w:sz w:val="21"/>
          <w:szCs w:val="21"/>
        </w:rPr>
        <w:t xml:space="preserve"> All three books share the title </w:t>
      </w:r>
      <w:r>
        <w:rPr>
          <w:rFonts w:ascii="Calibri" w:cs="Calibri" w:eastAsia="Calibri" w:hAnsi="Calibri"/>
          <w:b/>
          <w:bCs/>
          <w:color w:val="333A40"/>
          <w:sz w:val="21"/>
          <w:szCs w:val="21"/>
        </w:rPr>
        <w:t xml:space="preserve">The Crusades</w:t>
      </w:r>
      <w:r>
        <w:rPr>
          <w:rFonts w:ascii="Calibri" w:cs="Calibri" w:eastAsia="Calibri" w:hAnsi="Calibri"/>
          <w:color w:val="333A40"/>
          <w:sz w:val="21"/>
          <w:szCs w:val="21"/>
        </w:rPr>
        <w:t xml:space="preserve">. Each has a subtitle made of a triad of themes plus a place. The KDP series name is </w:t>
      </w:r>
      <w:r>
        <w:rPr>
          <w:rFonts w:ascii="Calibri" w:cs="Calibri" w:eastAsia="Calibri" w:hAnsi="Calibri"/>
          <w:b/>
          <w:bCs/>
          <w:color w:val="333A40"/>
          <w:sz w:val="21"/>
          <w:szCs w:val="21"/>
        </w:rPr>
        <w:t xml:space="preserve">The Crusades Beyond the Battlefield</w:t>
      </w:r>
      <w:r>
        <w:rPr>
          <w:rFonts w:ascii="Calibri" w:cs="Calibri" w:eastAsia="Calibri" w:hAnsi="Calibri"/>
          <w:color w:val="333A40"/>
          <w:sz w:val="21"/>
          <w:szCs w:val="21"/>
        </w:rPr>
        <w:t xml:space="preserve">, numbered 1 to 3 in the series field only.</w:t>
      </w:r>
    </w:p>
    <w:p>
      <w:pPr>
        <w:pStyle w:val="ListParagraph"/>
        <w:keepLines/>
        <w:numPr>
          <w:ilvl w:val="0"/>
          <w:numId w:val="2"/>
        </w:numPr>
        <w:spacing w:after="60" w:line="276"/>
      </w:pPr>
      <w:r>
        <w:rPr>
          <w:rFonts w:ascii="Calibri" w:cs="Calibri" w:eastAsia="Calibri" w:hAnsi="Calibri"/>
          <w:b/>
          <w:bCs/>
          <w:color w:val="333A40"/>
          <w:sz w:val="21"/>
          <w:szCs w:val="21"/>
        </w:rPr>
        <w:t xml:space="preserve">Explanation, not epic.</w:t>
      </w:r>
      <w:r>
        <w:rPr>
          <w:rFonts w:ascii="Calibri" w:cs="Calibri" w:eastAsia="Calibri" w:hAnsi="Calibri"/>
          <w:color w:val="333A40"/>
          <w:sz w:val="21"/>
          <w:szCs w:val="21"/>
        </w:rPr>
        <w:t xml:space="preserve"> The books are thematic syntheses of modern scholarship, not campaign narratives. Every piece of copy promises context and explanation, opens with a concrete scene or question from the manuscript, and avoids words such as “definitive” or “authoritative”.</w:t>
      </w:r>
    </w:p>
    <w:p>
      <w:pPr>
        <w:pStyle w:val="ListParagraph"/>
        <w:keepLines/>
        <w:numPr>
          <w:ilvl w:val="0"/>
          <w:numId w:val="2"/>
        </w:numPr>
        <w:spacing w:after="60" w:line="276"/>
      </w:pPr>
      <w:r>
        <w:rPr>
          <w:rFonts w:ascii="Calibri" w:cs="Calibri" w:eastAsia="Calibri" w:hAnsi="Calibri"/>
          <w:b/>
          <w:bCs/>
          <w:color w:val="333A40"/>
          <w:sz w:val="21"/>
          <w:szCs w:val="21"/>
        </w:rPr>
        <w:t xml:space="preserve">Three distinct audiences.</w:t>
      </w:r>
      <w:r>
        <w:rPr>
          <w:rFonts w:ascii="Calibri" w:cs="Calibri" w:eastAsia="Calibri" w:hAnsi="Calibri"/>
          <w:color w:val="333A40"/>
          <w:sz w:val="21"/>
          <w:szCs w:val="21"/>
        </w:rPr>
        <w:t xml:space="preserve"> Book One targets readers of medieval European and church history. Book Two targets economic, financial and maritime history. Book Three targets everyday life, institutions and Christian–Muslim relations in the Crusader States. Categories and keywords differ accordingly.</w:t>
      </w:r>
    </w:p>
    <w:p>
      <w:pPr>
        <w:pStyle w:val="ListParagraph"/>
        <w:keepLines/>
        <w:numPr>
          <w:ilvl w:val="0"/>
          <w:numId w:val="2"/>
        </w:numPr>
        <w:spacing w:after="60" w:line="276"/>
      </w:pPr>
      <w:r>
        <w:rPr>
          <w:rFonts w:ascii="Calibri" w:cs="Calibri" w:eastAsia="Calibri" w:hAnsi="Calibri"/>
          <w:b/>
          <w:bCs/>
          <w:color w:val="333A40"/>
          <w:sz w:val="21"/>
          <w:szCs w:val="21"/>
        </w:rPr>
        <w:t xml:space="preserve">US conventions for Amazon.com.</w:t>
      </w:r>
      <w:r>
        <w:rPr>
          <w:rFonts w:ascii="Calibri" w:cs="Calibri" w:eastAsia="Calibri" w:hAnsi="Calibri"/>
          <w:color w:val="333A40"/>
          <w:sz w:val="21"/>
          <w:szCs w:val="21"/>
        </w:rPr>
        <w:t xml:space="preserve"> Metadata uses US spelling and the serial comma. The manuscripts mix British spelling (Book One) and American spelling (Books Two and Three). The interiors can stay as written, but cover text and metadata should follow one convention.</w:t>
      </w:r>
    </w:p>
    <w:p>
      <w:pPr>
        <w:pStyle w:val="Heading2"/>
        <w:keepNext/>
      </w:pPr>
      <w:r>
        <w:t xml:space="preserve">Recommended titles at a glance</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1500"/>
        <w:gridCol w:w="1900"/>
        <w:gridCol w:w="6100"/>
      </w:tblGrid>
      <w:tr>
        <w:trPr>
          <w:cantSplit/>
          <w:tblHeader/>
        </w:trPr>
        <w:tc>
          <w:tcPr>
            <w:tcW w:type="dxa" w:w="15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Volume</w:t>
            </w:r>
          </w:p>
        </w:tc>
        <w:tc>
          <w:tcPr>
            <w:tcW w:type="dxa" w:w="19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Title</w:t>
            </w:r>
          </w:p>
        </w:tc>
        <w:tc>
          <w:tcPr>
            <w:tcW w:type="dxa" w:w="61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Subtitle</w:t>
            </w:r>
          </w:p>
        </w:tc>
      </w:tr>
      <w:tr>
        <w:trPr>
          <w:cantSplit/>
        </w:trPr>
        <w:tc>
          <w:tcPr>
            <w:tcW w:type="dxa" w:w="15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Book One</w:t>
            </w:r>
          </w:p>
        </w:tc>
        <w:tc>
          <w:tcPr>
            <w:tcW w:type="dxa" w:w="19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Crusades</w:t>
            </w:r>
          </w:p>
        </w:tc>
        <w:tc>
          <w:tcPr>
            <w:tcW w:type="dxa" w:w="61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Origins, Society, and Politics in Medieval Europe</w:t>
            </w:r>
          </w:p>
        </w:tc>
      </w:tr>
      <w:tr>
        <w:trPr>
          <w:cantSplit/>
        </w:trPr>
        <w:tc>
          <w:tcPr>
            <w:tcW w:type="dxa" w:w="15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Book Two</w:t>
            </w:r>
          </w:p>
        </w:tc>
        <w:tc>
          <w:tcPr>
            <w:tcW w:type="dxa" w:w="19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Crusades</w:t>
            </w:r>
          </w:p>
        </w:tc>
        <w:tc>
          <w:tcPr>
            <w:tcW w:type="dxa" w:w="61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Logistics, Finance, and Trade in the Medieval Mediterranean</w:t>
            </w:r>
          </w:p>
        </w:tc>
      </w:tr>
      <w:tr>
        <w:trPr>
          <w:cantSplit/>
        </w:trPr>
        <w:tc>
          <w:tcPr>
            <w:tcW w:type="dxa" w:w="15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Book Three</w:t>
            </w:r>
          </w:p>
        </w:tc>
        <w:tc>
          <w:tcPr>
            <w:tcW w:type="dxa" w:w="19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Crusades</w:t>
            </w:r>
          </w:p>
        </w:tc>
        <w:tc>
          <w:tcPr>
            <w:tcW w:type="dxa" w:w="61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Collision, Integration, and Institutions in the Crusader States</w:t>
            </w:r>
          </w:p>
        </w:tc>
      </w:tr>
    </w:tbl>
    <w:p>
      <w:pPr>
        <w:spacing w:after="80" w:before="0"/>
      </w:pPr>
    </w:p>
    <w:p>
      <w:pPr>
        <w:spacing w:after="120" w:before="0" w:line="288"/>
      </w:pPr>
      <w:r>
        <w:rPr>
          <w:rFonts w:ascii="Calibri" w:cs="Calibri" w:eastAsia="Calibri" w:hAnsi="Calibri"/>
          <w:color w:val="333A40"/>
          <w:sz w:val="20"/>
          <w:szCs w:val="20"/>
        </w:rPr>
        <w:t xml:space="preserve">Series name (KDP series field): </w:t>
      </w:r>
      <w:r>
        <w:rPr>
          <w:rFonts w:ascii="Calibri" w:cs="Calibri" w:eastAsia="Calibri" w:hAnsi="Calibri"/>
          <w:b/>
          <w:bCs/>
          <w:color w:val="333A40"/>
          <w:sz w:val="20"/>
          <w:szCs w:val="20"/>
        </w:rPr>
        <w:t xml:space="preserve">The Crusades Beyond the Battlefield</w:t>
      </w:r>
      <w:r>
        <w:rPr>
          <w:rFonts w:ascii="Calibri" w:cs="Calibri" w:eastAsia="Calibri" w:hAnsi="Calibri"/>
          <w:color w:val="333A40"/>
          <w:sz w:val="20"/>
          <w:szCs w:val="20"/>
        </w:rPr>
        <w:t xml:space="preserve">. Series numbers: 1, 2, 3. Author name: </w:t>
      </w:r>
      <w:r>
        <w:rPr>
          <w:rFonts w:ascii="Calibri" w:cs="Calibri" w:eastAsia="Calibri" w:hAnsi="Calibri"/>
          <w:b/>
          <w:bCs/>
          <w:color w:val="333A40"/>
          <w:sz w:val="20"/>
          <w:szCs w:val="20"/>
        </w:rPr>
        <w:t xml:space="preserve">David R. Bardi</w:t>
      </w:r>
      <w:r>
        <w:rPr>
          <w:rFonts w:ascii="Calibri" w:cs="Calibri" w:eastAsia="Calibri" w:hAnsi="Calibri"/>
          <w:color w:val="333A40"/>
          <w:sz w:val="20"/>
          <w:szCs w:val="20"/>
        </w:rPr>
        <w:t xml:space="preserve">, identical on every cover and record.</w:t>
      </w:r>
    </w:p>
    <w:p>
      <w:pPr>
        <w:pStyle w:val="Heading2"/>
        <w:keepNext/>
      </w:pPr>
      <w:r>
        <w:t xml:space="preserve">Decisions requiring approval</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500"/>
        <w:gridCol w:w="3300"/>
        <w:gridCol w:w="5700"/>
      </w:tblGrid>
      <w:tr>
        <w:trPr>
          <w:cantSplit/>
          <w:tblHeader/>
        </w:trPr>
        <w:tc>
          <w:tcPr>
            <w:tcW w:type="dxa" w:w="5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t>
            </w:r>
          </w:p>
        </w:tc>
        <w:tc>
          <w:tcPr>
            <w:tcW w:type="dxa" w:w="33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Decision</w:t>
            </w:r>
          </w:p>
        </w:tc>
        <w:tc>
          <w:tcPr>
            <w:tcW w:type="dxa" w:w="5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Recommendation</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b/>
                <w:bCs/>
                <w:color w:val="333A40"/>
                <w:sz w:val="18"/>
                <w:szCs w:val="18"/>
              </w:rPr>
              <w:t xml:space="preserve">1</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Title structure</w:t>
            </w:r>
          </w:p>
        </w:tc>
        <w:tc>
          <w:tcPr>
            <w:tcW w:type="dxa" w:w="5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Crusades” as the title of every volume, with the volume theme in the subtitle. This follows the author’s own working titles, which already use this split.</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b/>
                <w:bCs/>
                <w:color w:val="333A40"/>
                <w:sz w:val="18"/>
                <w:szCs w:val="18"/>
              </w:rPr>
              <w:t xml:space="preserve">2</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Book One subtitle</w:t>
            </w:r>
          </w:p>
        </w:tc>
        <w:tc>
          <w:tcPr>
            <w:tcW w:type="dxa" w:w="5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Origins, Society, and Politics in Medieval Europe (“Origin” becomes “Origins”).</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b/>
                <w:bCs/>
                <w:color w:val="333A40"/>
                <w:sz w:val="18"/>
                <w:szCs w:val="18"/>
              </w:rPr>
              <w:t xml:space="preserve">3</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Book Two subtitle</w:t>
            </w:r>
          </w:p>
        </w:tc>
        <w:tc>
          <w:tcPr>
            <w:tcW w:type="dxa" w:w="5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Logistics, Finance, and Trade in the Medieval Mediterranean. This drops “Economy in Motion” from the subtitle. An alternative that keeps the phrase is provided.</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b/>
                <w:bCs/>
                <w:color w:val="333A40"/>
                <w:sz w:val="18"/>
                <w:szCs w:val="18"/>
              </w:rPr>
              <w:t xml:space="preserve">4</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Book Three subtitle</w:t>
            </w:r>
          </w:p>
        </w:tc>
        <w:tc>
          <w:tcPr>
            <w:tcW w:type="dxa" w:w="5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Collision, Integration, and Institutions in the Crusader States.</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b/>
                <w:bCs/>
                <w:color w:val="333A40"/>
                <w:sz w:val="18"/>
                <w:szCs w:val="18"/>
              </w:rPr>
              <w:t xml:space="preserve">5</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Series name</w:t>
            </w:r>
          </w:p>
        </w:tc>
        <w:tc>
          <w:tcPr>
            <w:tcW w:type="dxa" w:w="5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Crusades Beyond the Battlefield. We avoided “Crusading in Context”, an existing academic series from Boydell &amp; Brewer, and generic names that give no identity.</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b/>
                <w:bCs/>
                <w:color w:val="333A40"/>
                <w:sz w:val="18"/>
                <w:szCs w:val="18"/>
              </w:rPr>
              <w:t xml:space="preserve">6</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Cover text</w:t>
            </w:r>
          </w:p>
        </w:tc>
        <w:tc>
          <w:tcPr>
            <w:tcW w:type="dxa" w:w="5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covers must show exactly the approved title, subtitle and author name. KDP asks for cover and metadata to match.</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b/>
                <w:bCs/>
                <w:color w:val="333A40"/>
                <w:sz w:val="18"/>
                <w:szCs w:val="18"/>
              </w:rPr>
              <w:t xml:space="preserve">7</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Interior title pages</w:t>
            </w:r>
          </w:p>
        </w:tc>
        <w:tc>
          <w:tcPr>
            <w:tcW w:type="dxa" w:w="5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Update the title pages of Books One and Two, which currently read differently (see below), so the files match the metadata.</w:t>
            </w:r>
          </w:p>
        </w:tc>
      </w:tr>
    </w:tbl>
    <w:p>
      <w:pPr>
        <w:pStyle w:val="Heading2"/>
        <w:keepNext/>
      </w:pPr>
      <w:r>
        <w:t xml:space="preserve">Manuscript notes that affect metadata</w:t>
      </w:r>
    </w:p>
    <w:p>
      <w:pPr>
        <w:pStyle w:val="ListParagraph"/>
        <w:keepLines/>
        <w:numPr>
          <w:ilvl w:val="0"/>
          <w:numId w:val="2"/>
        </w:numPr>
        <w:spacing w:after="60" w:line="276"/>
      </w:pPr>
      <w:r>
        <w:rPr>
          <w:rFonts w:ascii="Calibri" w:cs="Calibri" w:eastAsia="Calibri" w:hAnsi="Calibri"/>
          <w:color w:val="333A40"/>
          <w:sz w:val="21"/>
          <w:szCs w:val="21"/>
        </w:rPr>
        <w:t xml:space="preserve">Book One’s title page reads “Society, Politics and the Origin of the Crusades”, while the file name reads “The Crusades: Origin, Society and Politics”.</w:t>
      </w:r>
    </w:p>
    <w:p>
      <w:pPr>
        <w:pStyle w:val="ListParagraph"/>
        <w:keepLines/>
        <w:numPr>
          <w:ilvl w:val="0"/>
          <w:numId w:val="2"/>
        </w:numPr>
        <w:spacing w:after="60" w:line="276"/>
      </w:pPr>
      <w:r>
        <w:rPr>
          <w:rFonts w:ascii="Calibri" w:cs="Calibri" w:eastAsia="Calibri" w:hAnsi="Calibri"/>
          <w:color w:val="333A40"/>
          <w:sz w:val="21"/>
          <w:szCs w:val="21"/>
        </w:rPr>
        <w:t xml:space="preserve">Book Two’s title page reads “The Economy in Motion during the Crusades. Logistics, Finance and Trade”.</w:t>
      </w:r>
    </w:p>
    <w:p>
      <w:pPr>
        <w:pStyle w:val="ListParagraph"/>
        <w:keepLines/>
        <w:numPr>
          <w:ilvl w:val="0"/>
          <w:numId w:val="2"/>
        </w:numPr>
        <w:spacing w:after="60" w:line="276"/>
      </w:pPr>
      <w:r>
        <w:rPr>
          <w:rFonts w:ascii="Calibri" w:cs="Calibri" w:eastAsia="Calibri" w:hAnsi="Calibri"/>
          <w:color w:val="333A40"/>
          <w:sz w:val="21"/>
          <w:szCs w:val="21"/>
        </w:rPr>
        <w:t xml:space="preserve">Book One’s bibliography contains the text “[suspicious link removed]” in the Konieczny entry. It should be removed before publication, because it would be visible in the Look Inside preview.</w:t>
      </w:r>
    </w:p>
    <w:p>
      <w:pPr>
        <w:pStyle w:val="ListParagraph"/>
        <w:keepLines/>
        <w:numPr>
          <w:ilvl w:val="0"/>
          <w:numId w:val="2"/>
        </w:numPr>
        <w:spacing w:after="60" w:line="276"/>
      </w:pPr>
      <w:r>
        <w:rPr>
          <w:rFonts w:ascii="Calibri" w:cs="Calibri" w:eastAsia="Calibri" w:hAnsi="Calibri"/>
          <w:color w:val="333A40"/>
          <w:sz w:val="21"/>
          <w:szCs w:val="21"/>
        </w:rPr>
        <w:t xml:space="preserve">Book Three’s table of contents numbers two sections “5.4”. The body text correctly uses 5.5 for the second.</w:t>
      </w:r>
    </w:p>
    <w:p>
      <w:pPr>
        <w:pStyle w:val="Heading1"/>
        <w:keepNext/>
        <w:pageBreakBefore/>
      </w:pPr>
      <w:r>
        <w:t xml:space="preserve">Trilogy Positioning &amp; Market Context</w:t>
      </w:r>
    </w:p>
    <w:p>
      <w:pPr>
        <w:pStyle w:val="Heading2"/>
        <w:keepNext/>
      </w:pPr>
      <w:r>
        <w:t xml:space="preserve">Marketplace assumption</w:t>
      </w:r>
    </w:p>
    <w:p>
      <w:pPr>
        <w:spacing w:after="120" w:before="0" w:line="288"/>
      </w:pPr>
      <w:r>
        <w:rPr>
          <w:rFonts w:ascii="Calibri" w:cs="Calibri" w:eastAsia="Calibri" w:hAnsi="Calibri"/>
          <w:color w:val="333A40"/>
          <w:sz w:val="21"/>
          <w:szCs w:val="21"/>
        </w:rPr>
        <w:t xml:space="preserve">The primary marketplace is </w:t>
      </w:r>
      <w:r>
        <w:rPr>
          <w:rFonts w:ascii="Calibri" w:cs="Calibri" w:eastAsia="Calibri" w:hAnsi="Calibri"/>
          <w:b/>
          <w:bCs/>
          <w:color w:val="333A40"/>
          <w:sz w:val="21"/>
          <w:szCs w:val="21"/>
        </w:rPr>
        <w:t xml:space="preserve">Amazon.com</w:t>
      </w:r>
      <w:r>
        <w:rPr>
          <w:rFonts w:ascii="Calibri" w:cs="Calibri" w:eastAsia="Calibri" w:hAnsi="Calibri"/>
          <w:color w:val="333A40"/>
          <w:sz w:val="21"/>
          <w:szCs w:val="21"/>
        </w:rPr>
        <w:t xml:space="preserve"> (United States, English-language store). Recommendations cover the Kindle eBook and paperback formats. Other Amazon stores use different category trees and should be checked separately if the books are promoted there.</w:t>
      </w:r>
    </w:p>
    <w:p>
      <w:pPr>
        <w:pStyle w:val="Heading2"/>
        <w:keepNext/>
      </w:pPr>
      <w:r>
        <w:t xml:space="preserve">Positioning statement</w:t>
      </w: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trPr>
        <w:tc>
          <w:tcPr>
            <w:tcW w:type="dxa" w:w="9500"/>
            <w:tcBorders>
              <w:top w:val="none" w:color="FFFFFF" w:sz="0"/>
              <w:left w:val="single" w:color="B08D57" w:sz="18"/>
              <w:bottom w:val="none" w:color="FFFFFF" w:sz="0"/>
              <w:right w:val="none" w:color="FFFFFF" w:sz="0"/>
            </w:tcBorders>
            <w:shd w:fill="F4F2EE"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TRILOGY POSITIONING</w:t>
            </w:r>
          </w:p>
          <w:p>
            <w:pPr>
              <w:spacing w:after="0" w:before="0" w:line="288"/>
            </w:pPr>
            <w:r>
              <w:rPr>
                <w:rFonts w:ascii="Calibri" w:cs="Calibri" w:eastAsia="Calibri" w:hAnsi="Calibri"/>
                <w:color w:val="333A40"/>
                <w:sz w:val="20"/>
                <w:szCs w:val="20"/>
              </w:rPr>
              <w:t xml:space="preserve">The Crusades Beyond the Battlefield explains the Crusades through the forces that drove and sustained them. Book One covers the society and politics that launched the movement. Book Two covers the logistics, finance and trade that kept it going. Book Three covers the institutions and everyday coexistence of the Crusader States. The books are accessible syntheses of modern scholarship for general readers and students, not campaign narratives.</w:t>
            </w:r>
          </w:p>
        </w:tc>
      </w:tr>
    </w:tbl>
    <w:p>
      <w:pPr>
        <w:spacing w:after="120" w:before="0"/>
      </w:pPr>
    </w:p>
    <w:p>
      <w:pPr>
        <w:pStyle w:val="Heading2"/>
        <w:keepNext/>
      </w:pPr>
      <w:r>
        <w:t xml:space="preserve">What the market research shows</w:t>
      </w:r>
    </w:p>
    <w:p>
      <w:pPr>
        <w:spacing w:after="120" w:before="0" w:line="288"/>
      </w:pPr>
      <w:r>
        <w:rPr>
          <w:rFonts w:ascii="Calibri" w:cs="Calibri" w:eastAsia="Calibri" w:hAnsi="Calibri"/>
          <w:color w:val="333A40"/>
          <w:sz w:val="21"/>
          <w:szCs w:val="21"/>
        </w:rPr>
        <w:t xml:space="preserve">The observations below are qualitative. We did not have access to tools that report search volumes, sales or keyword competition, so no such figures are given. Amazon search suggestions were not used as evidence of demand.</w:t>
      </w:r>
    </w:p>
    <w:p>
      <w:pPr>
        <w:pStyle w:val="ListParagraph"/>
        <w:keepLines/>
        <w:numPr>
          <w:ilvl w:val="0"/>
          <w:numId w:val="2"/>
        </w:numPr>
        <w:spacing w:after="60" w:line="276"/>
      </w:pPr>
      <w:r>
        <w:rPr>
          <w:rFonts w:ascii="Calibri" w:cs="Calibri" w:eastAsia="Calibri" w:hAnsi="Calibri"/>
          <w:b/>
          <w:bCs/>
          <w:color w:val="333A40"/>
          <w:sz w:val="21"/>
          <w:szCs w:val="21"/>
        </w:rPr>
        <w:t xml:space="preserve">Narrative histories lead the crusade shelf.</w:t>
      </w:r>
      <w:r>
        <w:rPr>
          <w:rFonts w:ascii="Calibri" w:cs="Calibri" w:eastAsia="Calibri" w:hAnsi="Calibri"/>
          <w:color w:val="333A40"/>
          <w:sz w:val="21"/>
          <w:szCs w:val="21"/>
        </w:rPr>
        <w:t xml:space="preserve"> Single-volume narratives (Asbridge, Jones) and established surveys (Madden, Riley-Smith) are the reference titles. They sell the whole story from 1095 to 1291 or beyond. Our books should not compete on completeness.</w:t>
      </w:r>
    </w:p>
    <w:p>
      <w:pPr>
        <w:pStyle w:val="ListParagraph"/>
        <w:keepLines/>
        <w:numPr>
          <w:ilvl w:val="0"/>
          <w:numId w:val="2"/>
        </w:numPr>
        <w:spacing w:after="60" w:line="276"/>
      </w:pPr>
      <w:r>
        <w:rPr>
          <w:rFonts w:ascii="Calibri" w:cs="Calibri" w:eastAsia="Calibri" w:hAnsi="Calibri"/>
          <w:b/>
          <w:bCs/>
          <w:color w:val="333A40"/>
          <w:sz w:val="21"/>
          <w:szCs w:val="21"/>
        </w:rPr>
        <w:t xml:space="preserve">Thematic angles exist mostly at academic level.</w:t>
      </w:r>
      <w:r>
        <w:rPr>
          <w:rFonts w:ascii="Calibri" w:cs="Calibri" w:eastAsia="Calibri" w:hAnsi="Calibri"/>
          <w:color w:val="333A40"/>
          <w:sz w:val="21"/>
          <w:szCs w:val="21"/>
        </w:rPr>
        <w:t xml:space="preserve"> Logistics, finance and administration are treated in scholarly works (Tyerman’s How to Plan a Crusade, Pryor’s Logistics of Warfare, Lopez on the commercial revolution). This leaves room for accessible thematic volumes, which is the space this trilogy occupies.</w:t>
      </w:r>
    </w:p>
    <w:p>
      <w:pPr>
        <w:pStyle w:val="ListParagraph"/>
        <w:keepLines/>
        <w:numPr>
          <w:ilvl w:val="0"/>
          <w:numId w:val="2"/>
        </w:numPr>
        <w:spacing w:after="60" w:line="276"/>
      </w:pPr>
      <w:r>
        <w:rPr>
          <w:rFonts w:ascii="Calibri" w:cs="Calibri" w:eastAsia="Calibri" w:hAnsi="Calibri"/>
          <w:b/>
          <w:bCs/>
          <w:color w:val="333A40"/>
          <w:sz w:val="21"/>
          <w:szCs w:val="21"/>
        </w:rPr>
        <w:t xml:space="preserve">Adjacent shelves bring readers too.</w:t>
      </w:r>
      <w:r>
        <w:rPr>
          <w:rFonts w:ascii="Calibri" w:cs="Calibri" w:eastAsia="Calibri" w:hAnsi="Calibri"/>
          <w:color w:val="333A40"/>
          <w:sz w:val="21"/>
          <w:szCs w:val="21"/>
        </w:rPr>
        <w:t xml:space="preserve"> Maritime Venice and Genoa (Crowley), Muslim perspectives (Cobb) and daily life in the Latin East (Boas) show interest in the themes of Books Two and Three. This interest supports separate categories and keywords for each volume.</w:t>
      </w:r>
    </w:p>
    <w:p>
      <w:pPr>
        <w:pStyle w:val="ListParagraph"/>
        <w:keepLines/>
        <w:numPr>
          <w:ilvl w:val="0"/>
          <w:numId w:val="2"/>
        </w:numPr>
        <w:spacing w:after="60" w:line="276"/>
      </w:pPr>
      <w:r>
        <w:rPr>
          <w:rFonts w:ascii="Calibri" w:cs="Calibri" w:eastAsia="Calibri" w:hAnsi="Calibri"/>
          <w:b/>
          <w:bCs/>
          <w:color w:val="333A40"/>
          <w:sz w:val="21"/>
          <w:szCs w:val="21"/>
        </w:rPr>
        <w:t xml:space="preserve">Store categories are fragmented.</w:t>
      </w:r>
      <w:r>
        <w:rPr>
          <w:rFonts w:ascii="Calibri" w:cs="Calibri" w:eastAsia="Calibri" w:hAnsi="Calibri"/>
          <w:color w:val="333A40"/>
          <w:sz w:val="21"/>
          <w:szCs w:val="21"/>
        </w:rPr>
        <w:t xml:space="preserve"> Crusade titles appear across Medieval Military History, Islamic History, Middle East History and Medieval Europe. Each volume can therefore be placed where its own content fits best, rather than all three in one list.</w:t>
      </w:r>
    </w:p>
    <w:p>
      <w:pPr>
        <w:pStyle w:val="Heading2"/>
        <w:keepNext/>
      </w:pPr>
      <w:r>
        <w:t xml:space="preserve">Comparable and adjacent titles</w:t>
      </w:r>
    </w:p>
    <w:p>
      <w:pPr>
        <w:spacing w:after="120" w:before="0" w:line="288"/>
      </w:pPr>
      <w:r>
        <w:rPr>
          <w:rFonts w:ascii="Calibri" w:cs="Calibri" w:eastAsia="Calibri" w:hAnsi="Calibri"/>
          <w:color w:val="333A40"/>
          <w:sz w:val="19"/>
          <w:szCs w:val="19"/>
        </w:rPr>
        <w:t xml:space="preserve">These ten titles were chosen for relevance to the trilogy. The links are publisher, trade-review, catalogue or indexed Amazon pages. Amazon pages could not be opened directly from our research environment, so the Amazon links shown were retrieved through search indexing.</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900"/>
        <w:gridCol w:w="2600"/>
        <w:gridCol w:w="4000"/>
      </w:tblGrid>
      <w:tr>
        <w:trPr>
          <w:cantSplit/>
          <w:tblHeader/>
        </w:trPr>
        <w:tc>
          <w:tcPr>
            <w:tcW w:type="dxa" w:w="29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Title, author and link</w:t>
            </w:r>
          </w:p>
        </w:tc>
        <w:tc>
          <w:tcPr>
            <w:tcW w:type="dxa" w:w="26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Relevance to the trilogy</w:t>
            </w:r>
          </w:p>
        </w:tc>
        <w:tc>
          <w:tcPr>
            <w:tcW w:type="dxa" w:w="40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Implication for positioning and metadata</w:t>
            </w:r>
          </w:p>
        </w:tc>
      </w:tr>
      <w:tr>
        <w:trPr>
          <w:cantSplit/>
        </w:trPr>
        <w:tc>
          <w:tcPr>
            <w:tcW w:type="dxa" w:w="2900"/>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The Crusades: The Authoritative History of the War for the Holy Land</w:t>
            </w:r>
          </w:p>
          <w:p>
            <w:pPr>
              <w:spacing w:after="30" w:line="252"/>
            </w:pPr>
            <w:r>
              <w:rPr>
                <w:rFonts w:ascii="Calibri" w:cs="Calibri" w:eastAsia="Calibri" w:hAnsi="Calibri"/>
                <w:color w:val="6B7280"/>
                <w:sz w:val="17"/>
                <w:szCs w:val="17"/>
              </w:rPr>
              <w:t xml:space="preserve">Thomas Asbridge (Ecco)</w:t>
            </w:r>
          </w:p>
          <w:p>
            <w:pPr>
              <w:spacing w:after="0"/>
            </w:pPr>
            <w:hyperlink w:history="1" r:id="rIdjaxkatpq_jic40d5ikfkb">
              <w:r>
                <w:rPr>
                  <w:rStyle w:val="Hyperlink"/>
                  <w:rFonts w:ascii="Calibri" w:cs="Calibri" w:eastAsia="Calibri" w:hAnsi="Calibri"/>
                  <w:sz w:val="16"/>
                  <w:szCs w:val="16"/>
                </w:rPr>
                <w:t xml:space="preserve">View source</w:t>
              </w:r>
            </w:hyperlink>
          </w:p>
        </w:tc>
        <w:tc>
          <w:tcPr>
            <w:tcW w:type="dxa" w:w="26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This is the benchmark single-volume narrative (1095–1291) on Amazon.com. It is listed in Islamic History and History of Islam on Kindle.</w:t>
            </w:r>
          </w:p>
        </w:tc>
        <w:tc>
          <w:tcPr>
            <w:tcW w:type="dxa" w:w="4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We should not compete as “the complete history”. Our subtitles must signal a thematic, explanatory angle. We also avoid words such as “authoritative”, which credentials do not support here.</w:t>
            </w:r>
          </w:p>
        </w:tc>
      </w:tr>
      <w:tr>
        <w:trPr>
          <w:cantSplit/>
        </w:trPr>
        <w:tc>
          <w:tcPr>
            <w:tcW w:type="dxa" w:w="2900"/>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Crusaders: The Epic History of the Wars for the Holy Lands</w:t>
            </w:r>
          </w:p>
          <w:p>
            <w:pPr>
              <w:spacing w:after="30" w:line="252"/>
            </w:pPr>
            <w:r>
              <w:rPr>
                <w:rFonts w:ascii="Calibri" w:cs="Calibri" w:eastAsia="Calibri" w:hAnsi="Calibri"/>
                <w:color w:val="6B7280"/>
                <w:sz w:val="17"/>
                <w:szCs w:val="17"/>
              </w:rPr>
              <w:t xml:space="preserve">Dan Jones (Viking)</w:t>
            </w:r>
          </w:p>
          <w:p>
            <w:pPr>
              <w:spacing w:after="0"/>
            </w:pPr>
            <w:hyperlink w:history="1" r:id="rIddompvx0vsqv2prn--p6i6">
              <w:r>
                <w:rPr>
                  <w:rStyle w:val="Hyperlink"/>
                  <w:rFonts w:ascii="Calibri" w:cs="Calibri" w:eastAsia="Calibri" w:hAnsi="Calibri"/>
                  <w:sz w:val="16"/>
                  <w:szCs w:val="16"/>
                </w:rPr>
                <w:t xml:space="preserve">View source</w:t>
              </w:r>
            </w:hyperlink>
          </w:p>
        </w:tc>
        <w:tc>
          <w:tcPr>
            <w:tcW w:type="dxa" w:w="26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A popular narrative built around individual lives, from 1095 to 1492.</w:t>
            </w:r>
          </w:p>
        </w:tc>
        <w:tc>
          <w:tcPr>
            <w:tcW w:type="dxa" w:w="4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The “epic” storytelling space is crowded. Our copy should promise explanation and context, not drama, and open with concrete scenes instead.</w:t>
            </w:r>
          </w:p>
        </w:tc>
      </w:tr>
      <w:tr>
        <w:trPr>
          <w:cantSplit/>
        </w:trPr>
        <w:tc>
          <w:tcPr>
            <w:tcW w:type="dxa" w:w="2900"/>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The Concise History of the Crusades (3rd ed.)</w:t>
            </w:r>
          </w:p>
          <w:p>
            <w:pPr>
              <w:spacing w:after="30" w:line="252"/>
            </w:pPr>
            <w:r>
              <w:rPr>
                <w:rFonts w:ascii="Calibri" w:cs="Calibri" w:eastAsia="Calibri" w:hAnsi="Calibri"/>
                <w:color w:val="6B7280"/>
                <w:sz w:val="17"/>
                <w:szCs w:val="17"/>
              </w:rPr>
              <w:t xml:space="preserve">Thomas F. Madden (Rowman &amp; Littlefield)</w:t>
            </w:r>
          </w:p>
          <w:p>
            <w:pPr>
              <w:spacing w:after="0"/>
            </w:pPr>
            <w:hyperlink w:history="1" r:id="rIdoivn-0r9ge-g6tuzdusea">
              <w:r>
                <w:rPr>
                  <w:rStyle w:val="Hyperlink"/>
                  <w:rFonts w:ascii="Calibri" w:cs="Calibri" w:eastAsia="Calibri" w:hAnsi="Calibri"/>
                  <w:sz w:val="16"/>
                  <w:szCs w:val="16"/>
                </w:rPr>
                <w:t xml:space="preserve">View source</w:t>
              </w:r>
            </w:hyperlink>
          </w:p>
        </w:tc>
        <w:tc>
          <w:tcPr>
            <w:tcW w:type="dxa" w:w="26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A short survey for students, cited in all three manuscripts. It covers the social, economic and religious settings.</w:t>
            </w:r>
          </w:p>
        </w:tc>
        <w:tc>
          <w:tcPr>
            <w:tcW w:type="dxa" w:w="4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Students are a real secondary audience. The descriptions say “no prior knowledge needed” and name the debates the books engage with.</w:t>
            </w:r>
          </w:p>
        </w:tc>
      </w:tr>
      <w:tr>
        <w:trPr>
          <w:cantSplit/>
        </w:trPr>
        <w:tc>
          <w:tcPr>
            <w:tcW w:type="dxa" w:w="2900"/>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The First Crusade: The Call from the East</w:t>
            </w:r>
          </w:p>
          <w:p>
            <w:pPr>
              <w:spacing w:after="30" w:line="252"/>
            </w:pPr>
            <w:r>
              <w:rPr>
                <w:rFonts w:ascii="Calibri" w:cs="Calibri" w:eastAsia="Calibri" w:hAnsi="Calibri"/>
                <w:color w:val="6B7280"/>
                <w:sz w:val="17"/>
                <w:szCs w:val="17"/>
              </w:rPr>
              <w:t xml:space="preserve">Peter Frankopan (Belknap / Harvard)</w:t>
            </w:r>
          </w:p>
          <w:p>
            <w:pPr>
              <w:spacing w:after="0"/>
            </w:pPr>
            <w:hyperlink w:history="1" r:id="rIdpazyoevzgb7-dkatvs-kv">
              <w:r>
                <w:rPr>
                  <w:rStyle w:val="Hyperlink"/>
                  <w:rFonts w:ascii="Calibri" w:cs="Calibri" w:eastAsia="Calibri" w:hAnsi="Calibri"/>
                  <w:sz w:val="16"/>
                  <w:szCs w:val="16"/>
                </w:rPr>
                <w:t xml:space="preserve">View source</w:t>
              </w:r>
            </w:hyperlink>
          </w:p>
        </w:tc>
        <w:tc>
          <w:tcPr>
            <w:tcW w:type="dxa" w:w="26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Reinterprets the causes of the First Crusade from a Byzantine perspective.</w:t>
            </w:r>
          </w:p>
        </w:tc>
        <w:tc>
          <w:tcPr>
            <w:tcW w:type="dxa" w:w="4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Readers do look for books on causes. For Book One we use “Origins” in the subtitle and cause-oriented keywords (Clermont, Urban II), and we stay clear of the Byzantine angle that the book does not develop.</w:t>
            </w:r>
          </w:p>
        </w:tc>
      </w:tr>
      <w:tr>
        <w:trPr>
          <w:cantSplit/>
        </w:trPr>
        <w:tc>
          <w:tcPr>
            <w:tcW w:type="dxa" w:w="2900"/>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How to Plan a Crusade: Reason and Religious War in the High Middle Ages</w:t>
            </w:r>
          </w:p>
          <w:p>
            <w:pPr>
              <w:spacing w:after="30" w:line="252"/>
            </w:pPr>
            <w:r>
              <w:rPr>
                <w:rFonts w:ascii="Calibri" w:cs="Calibri" w:eastAsia="Calibri" w:hAnsi="Calibri"/>
                <w:color w:val="6B7280"/>
                <w:sz w:val="17"/>
                <w:szCs w:val="17"/>
              </w:rPr>
              <w:t xml:space="preserve">Christopher Tyerman (Penguin)</w:t>
            </w:r>
          </w:p>
          <w:p>
            <w:pPr>
              <w:spacing w:after="0"/>
            </w:pPr>
            <w:hyperlink w:history="1" r:id="rIdfnv-ga-fj-q3dvehngfdc">
              <w:r>
                <w:rPr>
                  <w:rStyle w:val="Hyperlink"/>
                  <w:rFonts w:ascii="Calibri" w:cs="Calibri" w:eastAsia="Calibri" w:hAnsi="Calibri"/>
                  <w:sz w:val="16"/>
                  <w:szCs w:val="16"/>
                </w:rPr>
                <w:t xml:space="preserve">View source</w:t>
              </w:r>
            </w:hyperlink>
          </w:p>
        </w:tc>
        <w:tc>
          <w:tcPr>
            <w:tcW w:type="dxa" w:w="26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The closest thematic neighbour to Books One and Two: propaganda, recruitment, finance and logistics.</w:t>
            </w:r>
          </w:p>
        </w:tc>
        <w:tc>
          <w:tcPr>
            <w:tcW w:type="dxa" w:w="4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“Logistics” and “finance” are recognized ways of framing the subject. Book Two sets itself apart through the maritime republics, banking and the commercial revolution, and its keywords stress these.</w:t>
            </w:r>
          </w:p>
        </w:tc>
      </w:tr>
      <w:tr>
        <w:trPr>
          <w:cantSplit/>
        </w:trPr>
        <w:tc>
          <w:tcPr>
            <w:tcW w:type="dxa" w:w="2900"/>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Logistics of Warfare in the Age of the Crusades</w:t>
            </w:r>
          </w:p>
          <w:p>
            <w:pPr>
              <w:spacing w:after="30" w:line="252"/>
            </w:pPr>
            <w:r>
              <w:rPr>
                <w:rFonts w:ascii="Calibri" w:cs="Calibri" w:eastAsia="Calibri" w:hAnsi="Calibri"/>
                <w:color w:val="6B7280"/>
                <w:sz w:val="17"/>
                <w:szCs w:val="17"/>
              </w:rPr>
              <w:t xml:space="preserve">John H. Pryor, ed. (Routledge)</w:t>
            </w:r>
          </w:p>
          <w:p>
            <w:pPr>
              <w:spacing w:after="0"/>
            </w:pPr>
            <w:hyperlink w:history="1" r:id="rIdsdxdcminneic6cll98tz8">
              <w:r>
                <w:rPr>
                  <w:rStyle w:val="Hyperlink"/>
                  <w:rFonts w:ascii="Calibri" w:cs="Calibri" w:eastAsia="Calibri" w:hAnsi="Calibri"/>
                  <w:sz w:val="16"/>
                  <w:szCs w:val="16"/>
                </w:rPr>
                <w:t xml:space="preserve">View source</w:t>
              </w:r>
            </w:hyperlink>
          </w:p>
        </w:tc>
        <w:tc>
          <w:tcPr>
            <w:tcW w:type="dxa" w:w="26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An academic collection on manpower, transport, supplies and financial resources. The indexed Amazon page lists it in European, Military and World History.</w:t>
            </w:r>
          </w:p>
        </w:tc>
        <w:tc>
          <w:tcPr>
            <w:tcW w:type="dxa" w:w="4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This is a scholarly treatment at academic level, which leaves room for an accessible economic volume. Book Two targets general readers and uses Economic History as its main category.</w:t>
            </w:r>
          </w:p>
        </w:tc>
      </w:tr>
      <w:tr>
        <w:trPr>
          <w:cantSplit/>
        </w:trPr>
        <w:tc>
          <w:tcPr>
            <w:tcW w:type="dxa" w:w="2900"/>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The Commercial Revolution of the Middle Ages, 950–1350</w:t>
            </w:r>
          </w:p>
          <w:p>
            <w:pPr>
              <w:spacing w:after="30" w:line="252"/>
            </w:pPr>
            <w:r>
              <w:rPr>
                <w:rFonts w:ascii="Calibri" w:cs="Calibri" w:eastAsia="Calibri" w:hAnsi="Calibri"/>
                <w:color w:val="6B7280"/>
                <w:sz w:val="17"/>
                <w:szCs w:val="17"/>
              </w:rPr>
              <w:t xml:space="preserve">Robert S. Lopez (Cambridge University Press)</w:t>
            </w:r>
          </w:p>
          <w:p>
            <w:pPr>
              <w:spacing w:after="0"/>
            </w:pPr>
            <w:hyperlink w:history="1" r:id="rIdapqub_lvezm2f9veu4o1x">
              <w:r>
                <w:rPr>
                  <w:rStyle w:val="Hyperlink"/>
                  <w:rFonts w:ascii="Calibri" w:cs="Calibri" w:eastAsia="Calibri" w:hAnsi="Calibri"/>
                  <w:sz w:val="16"/>
                  <w:szCs w:val="16"/>
                </w:rPr>
                <w:t xml:space="preserve">View source</w:t>
              </w:r>
            </w:hyperlink>
          </w:p>
        </w:tc>
        <w:tc>
          <w:tcPr>
            <w:tcW w:type="dxa" w:w="26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A classic economic history, used as a source in Book Two.</w:t>
            </w:r>
          </w:p>
        </w:tc>
        <w:tc>
          <w:tcPr>
            <w:tcW w:type="dxa" w:w="4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“Commercial revolution” is an established term readers recognize. It is used as a backend keyword for Book Two rather than in the title.</w:t>
            </w:r>
          </w:p>
        </w:tc>
      </w:tr>
      <w:tr>
        <w:trPr>
          <w:cantSplit/>
        </w:trPr>
        <w:tc>
          <w:tcPr>
            <w:tcW w:type="dxa" w:w="2900"/>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City of Fortune: How Venice Ruled the Seas</w:t>
            </w:r>
          </w:p>
          <w:p>
            <w:pPr>
              <w:spacing w:after="30" w:line="252"/>
            </w:pPr>
            <w:r>
              <w:rPr>
                <w:rFonts w:ascii="Calibri" w:cs="Calibri" w:eastAsia="Calibri" w:hAnsi="Calibri"/>
                <w:color w:val="6B7280"/>
                <w:sz w:val="17"/>
                <w:szCs w:val="17"/>
              </w:rPr>
              <w:t xml:space="preserve">Roger Crowley (Random House)</w:t>
            </w:r>
          </w:p>
          <w:p>
            <w:pPr>
              <w:spacing w:after="0"/>
            </w:pPr>
            <w:hyperlink w:history="1" r:id="rIdaxprznpbdt7tcnucmeppk">
              <w:r>
                <w:rPr>
                  <w:rStyle w:val="Hyperlink"/>
                  <w:rFonts w:ascii="Calibri" w:cs="Calibri" w:eastAsia="Calibri" w:hAnsi="Calibri"/>
                  <w:sz w:val="16"/>
                  <w:szCs w:val="16"/>
                </w:rPr>
                <w:t xml:space="preserve">View source</w:t>
              </w:r>
            </w:hyperlink>
          </w:p>
        </w:tc>
        <w:tc>
          <w:tcPr>
            <w:tcW w:type="dxa" w:w="26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A popular maritime history of Venice framed by the Fourth Crusade.</w:t>
            </w:r>
          </w:p>
        </w:tc>
        <w:tc>
          <w:tcPr>
            <w:tcW w:type="dxa" w:w="4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Venice and Genoa draw a strong general readership. Book Two names the maritime republics in its keywords and description.</w:t>
            </w:r>
          </w:p>
        </w:tc>
      </w:tr>
      <w:tr>
        <w:trPr>
          <w:cantSplit/>
        </w:trPr>
        <w:tc>
          <w:tcPr>
            <w:tcW w:type="dxa" w:w="2900"/>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The Race for Paradise: An Islamic History of the Crusades</w:t>
            </w:r>
          </w:p>
          <w:p>
            <w:pPr>
              <w:spacing w:after="30" w:line="252"/>
            </w:pPr>
            <w:r>
              <w:rPr>
                <w:rFonts w:ascii="Calibri" w:cs="Calibri" w:eastAsia="Calibri" w:hAnsi="Calibri"/>
                <w:color w:val="6B7280"/>
                <w:sz w:val="17"/>
                <w:szCs w:val="17"/>
              </w:rPr>
              <w:t xml:space="preserve">Paul M. Cobb (Oxford University Press)</w:t>
            </w:r>
          </w:p>
          <w:p>
            <w:pPr>
              <w:spacing w:after="0"/>
            </w:pPr>
            <w:hyperlink w:history="1" r:id="rIdtrlxam9x0fuorys9tou0i">
              <w:r>
                <w:rPr>
                  <w:rStyle w:val="Hyperlink"/>
                  <w:rFonts w:ascii="Calibri" w:cs="Calibri" w:eastAsia="Calibri" w:hAnsi="Calibri"/>
                  <w:sz w:val="16"/>
                  <w:szCs w:val="16"/>
                </w:rPr>
                <w:t xml:space="preserve">View source</w:t>
              </w:r>
            </w:hyperlink>
          </w:p>
        </w:tc>
        <w:tc>
          <w:tcPr>
            <w:tcW w:type="dxa" w:w="26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Muslim experiences of the Crusades, including diplomacy and commerce.</w:t>
            </w:r>
          </w:p>
        </w:tc>
        <w:tc>
          <w:tcPr>
            <w:tcW w:type="dxa" w:w="4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Readers want perspectives beyond the battlefield. Book Three must not present itself as Islamic history (its viewpoint is mainly the Latin East), so Islamic History is offered only as an alternative category.</w:t>
            </w:r>
          </w:p>
        </w:tc>
      </w:tr>
      <w:tr>
        <w:trPr>
          <w:cantSplit/>
        </w:trPr>
        <w:tc>
          <w:tcPr>
            <w:tcW w:type="dxa" w:w="2900"/>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The Crusades Uncovered</w:t>
            </w:r>
          </w:p>
          <w:p>
            <w:pPr>
              <w:spacing w:after="30" w:line="252"/>
            </w:pPr>
            <w:r>
              <w:rPr>
                <w:rFonts w:ascii="Calibri" w:cs="Calibri" w:eastAsia="Calibri" w:hAnsi="Calibri"/>
                <w:color w:val="6B7280"/>
                <w:sz w:val="17"/>
                <w:szCs w:val="17"/>
              </w:rPr>
              <w:t xml:space="preserve">Adrian J. Boas (Arc Humanities Press)</w:t>
            </w:r>
          </w:p>
          <w:p>
            <w:pPr>
              <w:spacing w:after="0"/>
            </w:pPr>
            <w:hyperlink w:history="1" r:id="rId1rhk9zfokvlhpfurh_w-e">
              <w:r>
                <w:rPr>
                  <w:rStyle w:val="Hyperlink"/>
                  <w:rFonts w:ascii="Calibri" w:cs="Calibri" w:eastAsia="Calibri" w:hAnsi="Calibri"/>
                  <w:sz w:val="16"/>
                  <w:szCs w:val="16"/>
                </w:rPr>
                <w:t xml:space="preserve">View source</w:t>
              </w:r>
            </w:hyperlink>
          </w:p>
        </w:tc>
        <w:tc>
          <w:tcPr>
            <w:tcW w:type="dxa" w:w="26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Everyday life of crusaders, pilgrims and settlers in the Crusader States. Boas is also a key source for Book Three.</w:t>
            </w:r>
          </w:p>
        </w:tc>
        <w:tc>
          <w:tcPr>
            <w:tcW w:type="dxa" w:w="4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There is a market for daily-life and institutional history of the Latin East. Book Three leads with that angle in its description and keywords.</w:t>
            </w:r>
          </w:p>
        </w:tc>
      </w:tr>
    </w:tbl>
    <w:p>
      <w:pPr>
        <w:pStyle w:val="Heading2"/>
        <w:keepNext/>
      </w:pPr>
      <w:r>
        <w:t xml:space="preserve">Claims we deliberately avoid</w:t>
      </w:r>
    </w:p>
    <w:p>
      <w:pPr>
        <w:spacing w:after="120" w:before="0" w:line="288"/>
      </w:pPr>
      <w:r>
        <w:rPr>
          <w:rFonts w:ascii="Calibri" w:cs="Calibri" w:eastAsia="Calibri" w:hAnsi="Calibri"/>
          <w:color w:val="333A40"/>
          <w:sz w:val="21"/>
          <w:szCs w:val="21"/>
        </w:rPr>
        <w:t xml:space="preserve">The manuscripts are well-referenced syntheses of published scholarship. They do not present new archival research, and no credentials, awards or prior publications are documented for David R. Bardi. The copy therefore makes no claims of authority, originality, completeness or rank. We also avoid bestseller and promotional language, which KDP prohibits in titles and which misleads readers in descriptions.</w:t>
      </w:r>
    </w:p>
    <w:p>
      <w:pPr>
        <w:pStyle w:val="Heading2"/>
        <w:keepNext/>
      </w:pPr>
      <w:r>
        <w:t xml:space="preserve">Overlap between volumes</w:t>
      </w:r>
    </w:p>
    <w:p>
      <w:pPr>
        <w:spacing w:after="120" w:before="0" w:line="288"/>
      </w:pPr>
      <w:r>
        <w:rPr>
          <w:rFonts w:ascii="Calibri" w:cs="Calibri" w:eastAsia="Calibri" w:hAnsi="Calibri"/>
          <w:color w:val="333A40"/>
          <w:sz w:val="21"/>
          <w:szCs w:val="21"/>
        </w:rPr>
        <w:t xml:space="preserve">A few topics recur across the manuscripts: Templar banking, the Italian quarters of Acre, sugar in Cyprus and Frederick II’s treaty. To keep the three listings clearly distinct, each description and keyword set leads with the topics where its volume goes deepest. Repeated topics appear in only one book’s keywords.</w:t>
      </w:r>
    </w:p>
    <w:p>
      <w:pPr>
        <w:pStyle w:val="Heading1"/>
        <w:keepNext/>
        <w:pageBreakBefore/>
      </w:pPr>
      <w:r>
        <w:t xml:space="preserve">Book One: The Crusades</w:t>
      </w:r>
    </w:p>
    <w:p>
      <w:pPr>
        <w:spacing w:after="200" w:before="0" w:line="288"/>
      </w:pPr>
      <w:r>
        <w:rPr>
          <w:rFonts w:ascii="Calibri" w:cs="Calibri" w:eastAsia="Calibri" w:hAnsi="Calibri"/>
          <w:i/>
          <w:iCs/>
          <w:color w:val="6B7280"/>
          <w:sz w:val="24"/>
          <w:szCs w:val="24"/>
        </w:rPr>
        <w:t xml:space="preserve">Origins, Society, and Politics in Medieval Europe</w:t>
      </w:r>
    </w:p>
    <w:p>
      <w:pPr>
        <w:pStyle w:val="Heading2"/>
        <w:keepNext/>
      </w:pPr>
      <w:r>
        <w:t xml:space="preserve">1. Positioning</w:t>
      </w: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trPr>
        <w:tc>
          <w:tcPr>
            <w:tcW w:type="dxa" w:w="9500"/>
            <w:tcBorders>
              <w:top w:val="none" w:color="FFFFFF" w:sz="0"/>
              <w:left w:val="single" w:color="B08D57" w:sz="18"/>
              <w:bottom w:val="none" w:color="FFFFFF" w:sz="0"/>
              <w:right w:val="none" w:color="FFFFFF" w:sz="0"/>
            </w:tcBorders>
            <w:shd w:fill="F4F2EE"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POSITIONING IN ONE SENTENCE</w:t>
            </w:r>
          </w:p>
          <w:p>
            <w:pPr>
              <w:spacing w:after="0" w:before="0" w:line="288"/>
            </w:pPr>
            <w:r>
              <w:rPr>
                <w:rFonts w:ascii="Calibri" w:cs="Calibri" w:eastAsia="Calibri" w:hAnsi="Calibri"/>
                <w:color w:val="333A40"/>
                <w:sz w:val="20"/>
                <w:szCs w:val="20"/>
              </w:rPr>
              <w:t xml:space="preserve">An explanatory history of why medieval Europe launched the Crusades, built from the social and material pressures of the eleventh century and the religious ideas that gave them a direction. It is positioned against battle-led narratives as the “why” book of the series. It does not claim original archival research.</w:t>
            </w:r>
          </w:p>
        </w:tc>
      </w:tr>
    </w:tbl>
    <w:p>
      <w:pPr>
        <w:spacing w:after="120" w:before="0"/>
      </w:pPr>
    </w:p>
    <w:p>
      <w:pPr>
        <w:pStyle w:val="Heading3"/>
        <w:keepNext/>
      </w:pPr>
      <w:r>
        <w:t xml:space="preserve">Manuscript at a glance</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500"/>
        <w:gridCol w:w="7000"/>
      </w:tblGrid>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Central subject and thesis</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Why the crusading movement arose. The book argues that the Crusades were the organic expression of an expanding, crisis-ridden eleventh-century Europe: population growth, famine, feudal fragmentation and landless knights. The reform papacy channelled these pressures into holy war. It explicitly rejects both “pure faith” and “pure land-grab” readings.</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Period and geography</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c. 900–1300, with forward links to 1453 and the Americas. Mainly Latin Europe (France, Germany, Italy, Iberia, Sicily), with the Levant, Byzantium and the maritime cities as destinations.</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Themes and weight (approx. share of text)</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Society, demography, feudal power and economy, including the colonial debate (Ch. 1–7, ~45%). Religion, reform papacy and Clermont (Ch. 8–10, ~20%). Propaganda, crowd psychology and demonisation of the enemy (Ch. 11–13, ~20%). Later evolution: Fourth Crusade, taxation, legacy (Ch. 14 and Conclusion, ~12%).</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Approach</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Analytical and popular. It synthesises modern scholarship (Riley-Smith, Kostick, Latham, Chevedden, Madden and others) with author–date citations and quotes medieval chroniclers through those studies. Thematic, not chronological. One chapter draws comparisons with the modern world.</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Reader level</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General educated readers and students. No prior knowledge needed, though some Latin terms (milites, crucesignatus, translatio regni) are introduced without a glossary.</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What sets it apart</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It starts from social and material causes and their interaction with spiritual anxiety. It also covers the poor (pauperes, Peter Bartholomew, the Tafurs) and propaganda mechanics, which general introductions treat briefly.</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Most suitable audience</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Readers of medieval European history, students of the Crusades and church history, and readers interested in how ideology mobilises societies.</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Role in the trilogy</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Foundation volume: why the movement began and how it was sold. Book Two follows the money and the supplies. Book Three follows the societies created overseas.</w:t>
            </w:r>
          </w:p>
        </w:tc>
      </w:tr>
    </w:tbl>
    <w:p>
      <w:pPr>
        <w:pStyle w:val="Heading2"/>
        <w:keepNext/>
        <w:pageBreakBefore/>
      </w:pPr>
      <w:r>
        <w:t xml:space="preserve">2. Title &amp; Subtitle</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500"/>
        <w:gridCol w:w="7000"/>
      </w:tblGrid>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Title page of the manuscript</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Society, Politics and the Origin of the Crusades</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Working title (client files)</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Crusades: Origin, Society and Politics</w:t>
            </w:r>
          </w:p>
        </w:tc>
      </w:tr>
    </w:tbl>
    <w:p>
      <w:pPr>
        <w:spacing w:after="100" w:before="0"/>
      </w:pPr>
    </w:p>
    <w:p>
      <w:pPr>
        <w:pStyle w:val="Heading3"/>
        <w:keepNext/>
      </w:pPr>
      <w:r>
        <w:t xml:space="preserve">Assessment</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000"/>
        <w:gridCol w:w="7500"/>
      </w:tblGrid>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Clarity</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subject is clear, but the two existing versions differ in word order and in “Origin”/“Origins”. Choose one form and repeat it on the cover, the interior title page and in KDP.</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Natural English</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“Origin” in the singular is unusual in this context. US style also expects a serial comma (“Society, and Politics”) on Amazon.com.</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Historical precision</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Accurate. The book explains causes and context (demography, feudal structures, reform papacy, propaganda) rather than narrating campaigns. “Politics” fairly covers the ideological and ecclesiastical chapters.</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Reader appeal</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Abstract on its own. A place anchor tells browsers this is an explanatory history of medieval Europe, which sets it apart from battle narratives.</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Series coherence</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Works well as the opening triad if all three volumes share the title “The Crusades” and a parallel subtitle.</w:t>
            </w:r>
          </w:p>
        </w:tc>
      </w:tr>
    </w:tbl>
    <w:p>
      <w:pPr>
        <w:spacing w:after="140" w:before="0"/>
      </w:pP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trPr>
        <w:tc>
          <w:tcPr>
            <w:tcW w:type="dxa" w:w="9500"/>
            <w:tcBorders>
              <w:top w:val="none" w:color="FFFFFF" w:sz="0"/>
              <w:left w:val="single" w:color="B08D57" w:sz="18"/>
              <w:bottom w:val="none" w:color="FFFFFF" w:sz="0"/>
              <w:right w:val="none" w:color="FFFFFF" w:sz="0"/>
            </w:tcBorders>
            <w:shd w:fill="F4F2EE"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RECOMMENDED — READY TO USE (SUBJECT TO APPROVAL)</w:t>
            </w:r>
          </w:p>
          <w:p>
            <w:pPr>
              <w:spacing w:after="60"/>
            </w:pPr>
            <w:r>
              <w:rPr>
                <w:rFonts w:ascii="Calibri" w:cs="Calibri" w:eastAsia="Calibri" w:hAnsi="Calibri"/>
                <w:b/>
                <w:bCs/>
                <w:color w:val="1B2A4A"/>
                <w:sz w:val="20"/>
                <w:szCs w:val="20"/>
              </w:rPr>
              <w:t xml:space="preserve">Title:  </w:t>
            </w:r>
            <w:r>
              <w:rPr>
                <w:rFonts w:ascii="Calibri" w:cs="Calibri" w:eastAsia="Calibri" w:hAnsi="Calibri"/>
                <w:color w:val="333A40"/>
                <w:sz w:val="22"/>
                <w:szCs w:val="22"/>
              </w:rPr>
              <w:t xml:space="preserve">The Crusades</w:t>
            </w:r>
          </w:p>
          <w:p>
            <w:pPr>
              <w:spacing w:after="60"/>
            </w:pPr>
            <w:r>
              <w:rPr>
                <w:rFonts w:ascii="Calibri" w:cs="Calibri" w:eastAsia="Calibri" w:hAnsi="Calibri"/>
                <w:b/>
                <w:bCs/>
                <w:color w:val="1B2A4A"/>
                <w:sz w:val="20"/>
                <w:szCs w:val="20"/>
              </w:rPr>
              <w:t xml:space="preserve">Subtitle:  </w:t>
            </w:r>
            <w:r>
              <w:rPr>
                <w:rFonts w:ascii="Calibri" w:cs="Calibri" w:eastAsia="Calibri" w:hAnsi="Calibri"/>
                <w:color w:val="333A40"/>
                <w:sz w:val="22"/>
                <w:szCs w:val="22"/>
              </w:rPr>
              <w:t xml:space="preserve">Origins, Society, and Politics in Medieval Europe</w:t>
            </w:r>
          </w:p>
          <w:p>
            <w:pPr>
              <w:spacing w:after="60"/>
            </w:pPr>
            <w:r>
              <w:rPr>
                <w:rFonts w:ascii="Calibri" w:cs="Calibri" w:eastAsia="Calibri" w:hAnsi="Calibri"/>
                <w:b/>
                <w:bCs/>
                <w:color w:val="1B2A4A"/>
                <w:sz w:val="20"/>
                <w:szCs w:val="20"/>
              </w:rPr>
              <w:t xml:space="preserve">Series name:  </w:t>
            </w:r>
            <w:r>
              <w:rPr>
                <w:rFonts w:ascii="Calibri" w:cs="Calibri" w:eastAsia="Calibri" w:hAnsi="Calibri"/>
                <w:color w:val="333A40"/>
                <w:sz w:val="20"/>
                <w:szCs w:val="20"/>
              </w:rPr>
              <w:t xml:space="preserve">The Crusades Beyond the Battlefield</w:t>
            </w:r>
            <w:r>
              <w:rPr>
                <w:rFonts w:ascii="Calibri" w:cs="Calibri" w:eastAsia="Calibri" w:hAnsi="Calibri"/>
                <w:b/>
                <w:bCs/>
                <w:color w:val="1B2A4A"/>
                <w:sz w:val="20"/>
                <w:szCs w:val="20"/>
              </w:rPr>
              <w:t xml:space="preserve">     Series number:  </w:t>
            </w:r>
            <w:r>
              <w:rPr>
                <w:rFonts w:ascii="Calibri" w:cs="Calibri" w:eastAsia="Calibri" w:hAnsi="Calibri"/>
                <w:color w:val="333A40"/>
                <w:sz w:val="20"/>
                <w:szCs w:val="20"/>
              </w:rPr>
              <w:t xml:space="preserve">1</w:t>
            </w:r>
          </w:p>
          <w:p>
            <w:pPr>
              <w:spacing w:after="0"/>
            </w:pPr>
            <w:r>
              <w:rPr>
                <w:rFonts w:ascii="Calibri" w:cs="Calibri" w:eastAsia="Calibri" w:hAnsi="Calibri"/>
                <w:color w:val="6B7280"/>
                <w:sz w:val="17"/>
                <w:szCs w:val="17"/>
              </w:rPr>
              <w:t xml:space="preserve">Amazon will display: The Crusades: Origins, Society, and Politics in Medieval Europe. Title + subtitle = 61 characters (KDP limit: under 200).</w:t>
            </w:r>
          </w:p>
        </w:tc>
      </w:tr>
    </w:tbl>
    <w:p>
      <w:pPr>
        <w:spacing w:after="100" w:before="0"/>
      </w:pPr>
    </w:p>
    <w:p>
      <w:pPr>
        <w:pStyle w:val="Heading3"/>
        <w:keepNext/>
      </w:pPr>
      <w:r>
        <w:t xml:space="preserve">Why we recommend it</w:t>
      </w:r>
    </w:p>
    <w:p>
      <w:pPr>
        <w:pStyle w:val="ListParagraph"/>
        <w:keepLines/>
        <w:numPr>
          <w:ilvl w:val="0"/>
          <w:numId w:val="2"/>
        </w:numPr>
        <w:spacing w:after="60" w:line="276"/>
      </w:pPr>
      <w:r>
        <w:rPr>
          <w:rFonts w:ascii="Calibri" w:cs="Calibri" w:eastAsia="Calibri" w:hAnsi="Calibri"/>
          <w:color w:val="333A40"/>
          <w:sz w:val="21"/>
          <w:szCs w:val="21"/>
        </w:rPr>
        <w:t xml:space="preserve">It keeps the series root and the three nouns the author chose, so the project stays recognizable.</w:t>
      </w:r>
    </w:p>
    <w:p>
      <w:pPr>
        <w:pStyle w:val="ListParagraph"/>
        <w:keepLines/>
        <w:numPr>
          <w:ilvl w:val="0"/>
          <w:numId w:val="2"/>
        </w:numPr>
        <w:spacing w:after="60" w:line="276"/>
      </w:pPr>
      <w:r>
        <w:rPr>
          <w:rFonts w:ascii="Calibri" w:cs="Calibri" w:eastAsia="Calibri" w:hAnsi="Calibri"/>
          <w:color w:val="333A40"/>
          <w:sz w:val="21"/>
          <w:szCs w:val="21"/>
        </w:rPr>
        <w:t xml:space="preserve">“Origins” (plural) is the standard English form for the causes of a historical movement. “Origin” in the singular reads as a translation.</w:t>
      </w:r>
    </w:p>
    <w:p>
      <w:pPr>
        <w:pStyle w:val="ListParagraph"/>
        <w:keepLines/>
        <w:numPr>
          <w:ilvl w:val="0"/>
          <w:numId w:val="2"/>
        </w:numPr>
        <w:spacing w:after="60" w:line="276"/>
      </w:pPr>
      <w:r>
        <w:rPr>
          <w:rFonts w:ascii="Calibri" w:cs="Calibri" w:eastAsia="Calibri" w:hAnsi="Calibri"/>
          <w:color w:val="333A40"/>
          <w:sz w:val="21"/>
          <w:szCs w:val="21"/>
        </w:rPr>
        <w:t xml:space="preserve">“in Medieval Europe” states the book’s real scope. It is about the Western society that produced crusading, not the campaigns in the Levant. It also adds natural search terms without any keyword stuffing.</w:t>
      </w:r>
    </w:p>
    <w:p>
      <w:pPr>
        <w:pStyle w:val="ListParagraph"/>
        <w:keepLines/>
        <w:numPr>
          <w:ilvl w:val="0"/>
          <w:numId w:val="2"/>
        </w:numPr>
        <w:spacing w:after="60" w:line="276"/>
      </w:pPr>
      <w:r>
        <w:rPr>
          <w:rFonts w:ascii="Calibri" w:cs="Calibri" w:eastAsia="Calibri" w:hAnsi="Calibri"/>
          <w:color w:val="333A40"/>
          <w:sz w:val="21"/>
          <w:szCs w:val="21"/>
        </w:rPr>
        <w:t xml:space="preserve">It follows the same pattern as Books Two and Three: a triad of themes, then a place.</w:t>
      </w:r>
    </w:p>
    <w:p>
      <w:pPr>
        <w:pStyle w:val="Heading3"/>
        <w:keepNext/>
      </w:pPr>
      <w:r>
        <w:t xml:space="preserve">Alternatives (maximum two)</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1600"/>
        <w:gridCol w:w="3700"/>
        <w:gridCol w:w="4200"/>
      </w:tblGrid>
      <w:tr>
        <w:trPr>
          <w:cantSplit/>
          <w:tblHeader/>
        </w:trPr>
        <w:tc>
          <w:tcPr>
            <w:tcW w:type="dxa" w:w="16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Title</w:t>
            </w:r>
          </w:p>
        </w:tc>
        <w:tc>
          <w:tcPr>
            <w:tcW w:type="dxa" w:w="3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Subtitle</w:t>
            </w:r>
          </w:p>
        </w:tc>
        <w:tc>
          <w:tcPr>
            <w:tcW w:type="dxa" w:w="42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Note</w:t>
            </w:r>
          </w:p>
        </w:tc>
      </w:tr>
      <w:tr>
        <w:trPr>
          <w:cantSplit/>
        </w:trPr>
        <w:tc>
          <w:tcPr>
            <w:tcW w:type="dxa" w:w="16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The Crusades</w:t>
            </w:r>
          </w:p>
        </w:tc>
        <w:tc>
          <w:tcPr>
            <w:tcW w:type="dxa" w:w="37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Origins, Society, and Politics</w:t>
            </w:r>
          </w:p>
        </w:tc>
        <w:tc>
          <w:tcPr>
            <w:tcW w:type="dxa" w:w="42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Minimal change from the working title. Clean and recognizable, but gives no sense of scope or period.</w:t>
            </w:r>
          </w:p>
        </w:tc>
      </w:tr>
      <w:tr>
        <w:trPr>
          <w:cantSplit/>
        </w:trPr>
        <w:tc>
          <w:tcPr>
            <w:tcW w:type="dxa" w:w="16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The Crusades</w:t>
            </w:r>
          </w:p>
        </w:tc>
        <w:tc>
          <w:tcPr>
            <w:tcW w:type="dxa" w:w="37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Origins, Society, and Politics: Why Medieval Europe Turned East</w:t>
            </w:r>
          </w:p>
        </w:tc>
        <w:tc>
          <w:tcPr>
            <w:tcW w:type="dxa" w:w="42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More inviting to general readers. Amazon would display two colons in a row (title: subtitle: tagline), which looks less tidy.</w:t>
            </w:r>
          </w:p>
        </w:tc>
      </w:tr>
    </w:tbl>
    <w:p>
      <w:pPr>
        <w:pStyle w:val="Heading2"/>
        <w:keepNext/>
        <w:pageBreakBefore/>
      </w:pPr>
      <w:r>
        <w:t xml:space="preserve">3. Amazon Description</w:t>
      </w:r>
    </w:p>
    <w:p>
      <w:pPr>
        <w:spacing w:after="120" w:before="0" w:line="288"/>
      </w:pPr>
      <w:r>
        <w:rPr>
          <w:rFonts w:ascii="Calibri" w:cs="Calibri" w:eastAsia="Calibri" w:hAnsi="Calibri"/>
          <w:color w:val="6B7280"/>
          <w:sz w:val="18"/>
          <w:szCs w:val="18"/>
        </w:rPr>
        <w:t xml:space="preserve">Plain-text version: 280 words, 1,748 characters including spaces (KDP limit: 4,000).</w:t>
      </w: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val="false"/>
        </w:trPr>
        <w:tc>
          <w:tcPr>
            <w:tcW w:type="dxa" w:w="9500"/>
            <w:tcBorders>
              <w:top w:val="none" w:color="FFFFFF" w:sz="0"/>
              <w:left w:val="single" w:color="B08D57" w:sz="18"/>
              <w:bottom w:val="none" w:color="FFFFFF" w:sz="0"/>
              <w:right w:val="none" w:color="FFFFFF" w:sz="0"/>
            </w:tcBorders>
            <w:shd w:fill="FBFAF7"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DESCRIPTION — PLAIN TEXT, READY TO COPY</w:t>
            </w:r>
          </w:p>
          <w:p>
            <w:pPr>
              <w:spacing w:after="110" w:line="276"/>
            </w:pPr>
            <w:r>
              <w:rPr>
                <w:rFonts w:ascii="Calibri" w:cs="Calibri" w:eastAsia="Calibri" w:hAnsi="Calibri"/>
                <w:b/>
                <w:bCs/>
                <w:color w:val="333A40"/>
                <w:sz w:val="20"/>
                <w:szCs w:val="20"/>
              </w:rPr>
              <w:t xml:space="preserve">Why did knights, peasants, and clergy leave their homes in 1096 for a city most of them would never see?</w:t>
            </w:r>
          </w:p>
          <w:p>
            <w:pPr>
              <w:spacing w:after="110" w:line="276"/>
            </w:pPr>
            <w:r>
              <w:rPr>
                <w:rFonts w:ascii="Calibri" w:cs="Calibri" w:eastAsia="Calibri" w:hAnsi="Calibri"/>
                <w:color w:val="333A40"/>
                <w:sz w:val="20"/>
                <w:szCs w:val="20"/>
              </w:rPr>
              <w:t xml:space="preserve">The first volume of The Crusades Beyond the Battlefield answers that question by looking not at the Holy Land, but at the Europe that produced the crusading movement. Drawing on the accounts of medieval chroniclers and the work of modern historians, it follows a continent that, freed from Viking, Magyar, and Saracen raids, grew crowded, restless, and ready to expand.</w:t>
            </w:r>
          </w:p>
          <w:p>
            <w:pPr>
              <w:spacing w:after="110" w:line="276"/>
            </w:pPr>
            <w:r>
              <w:rPr>
                <w:rFonts w:ascii="Calibri" w:cs="Calibri" w:eastAsia="Calibri" w:hAnsi="Calibri"/>
                <w:color w:val="333A40"/>
                <w:sz w:val="20"/>
                <w:szCs w:val="20"/>
              </w:rPr>
              <w:t xml:space="preserve">Inside, you will explore:</w:t>
            </w:r>
          </w:p>
          <w:p>
            <w:pPr>
              <w:spacing w:after="50" w:line="276"/>
              <w:ind w:left="300" w:hanging="220"/>
            </w:pPr>
            <w:r>
              <w:rPr>
                <w:rFonts w:ascii="Calibri" w:cs="Calibri" w:eastAsia="Calibri" w:hAnsi="Calibri"/>
                <w:color w:val="333A40"/>
                <w:sz w:val="20"/>
                <w:szCs w:val="20"/>
              </w:rPr>
              <w:t xml:space="preserve">•  Population growth, famine, and the land hunger of the eleventh century, including the subsistence crisis of 1094–1095</w:t>
            </w:r>
          </w:p>
          <w:p>
            <w:pPr>
              <w:spacing w:after="50" w:line="276"/>
              <w:ind w:left="300" w:hanging="220"/>
            </w:pPr>
            <w:r>
              <w:rPr>
                <w:rFonts w:ascii="Calibri" w:cs="Calibri" w:eastAsia="Calibri" w:hAnsi="Calibri"/>
                <w:color w:val="333A40"/>
                <w:sz w:val="20"/>
                <w:szCs w:val="20"/>
              </w:rPr>
              <w:t xml:space="preserve">•  Castles, feudal fragmentation, and the problem of armed younger sons without an inheritance</w:t>
            </w:r>
          </w:p>
          <w:p>
            <w:pPr>
              <w:spacing w:after="50" w:line="276"/>
              <w:ind w:left="300" w:hanging="220"/>
            </w:pPr>
            <w:r>
              <w:rPr>
                <w:rFonts w:ascii="Calibri" w:cs="Calibri" w:eastAsia="Calibri" w:hAnsi="Calibri"/>
                <w:color w:val="333A40"/>
                <w:sz w:val="20"/>
                <w:szCs w:val="20"/>
              </w:rPr>
              <w:t xml:space="preserve">•  How the reforming papacy of Gregory VII and Urban II turned just war into holy war</w:t>
            </w:r>
          </w:p>
          <w:p>
            <w:pPr>
              <w:spacing w:after="50" w:line="276"/>
              <w:ind w:left="300" w:hanging="220"/>
            </w:pPr>
            <w:r>
              <w:rPr>
                <w:rFonts w:ascii="Calibri" w:cs="Calibri" w:eastAsia="Calibri" w:hAnsi="Calibri"/>
                <w:color w:val="333A40"/>
                <w:sz w:val="20"/>
                <w:szCs w:val="20"/>
              </w:rPr>
              <w:t xml:space="preserve">•  The Council of Clermont, the crusader’s vow, indulgences, and the legal protections that made departure possible</w:t>
            </w:r>
          </w:p>
          <w:p>
            <w:pPr>
              <w:spacing w:after="50" w:line="276"/>
              <w:ind w:left="300" w:hanging="220"/>
            </w:pPr>
            <w:r>
              <w:rPr>
                <w:rFonts w:ascii="Calibri" w:cs="Calibri" w:eastAsia="Calibri" w:hAnsi="Calibri"/>
                <w:color w:val="333A40"/>
                <w:sz w:val="20"/>
                <w:szCs w:val="20"/>
              </w:rPr>
              <w:t xml:space="preserve">•  Preachers, troubadours, and propaganda that recruited nobles and the poor alike, from Peter the Hermit to the Tafurs</w:t>
            </w:r>
          </w:p>
          <w:p>
            <w:pPr>
              <w:spacing w:after="50" w:line="276"/>
              <w:ind w:left="300" w:hanging="220"/>
            </w:pPr>
            <w:r>
              <w:rPr>
                <w:rFonts w:ascii="Calibri" w:cs="Calibri" w:eastAsia="Calibri" w:hAnsi="Calibri"/>
                <w:color w:val="333A40"/>
                <w:sz w:val="20"/>
                <w:szCs w:val="20"/>
              </w:rPr>
              <w:t xml:space="preserve">•  How the image of the “infidel” was built, and how the same hostility turned against Jews and heretics in Europe</w:t>
            </w:r>
          </w:p>
          <w:p>
            <w:pPr>
              <w:spacing w:after="110" w:line="276"/>
              <w:ind w:left="300" w:hanging="220"/>
            </w:pPr>
            <w:r>
              <w:rPr>
                <w:rFonts w:ascii="Calibri" w:cs="Calibri" w:eastAsia="Calibri" w:hAnsi="Calibri"/>
                <w:color w:val="333A40"/>
                <w:sz w:val="20"/>
                <w:szCs w:val="20"/>
              </w:rPr>
              <w:t xml:space="preserve">•  The maritime cities, the colonial debate, and the taxation that made the crusade an enterprise of states</w:t>
            </w:r>
          </w:p>
          <w:p>
            <w:pPr>
              <w:spacing w:after="110" w:line="276"/>
            </w:pPr>
            <w:r>
              <w:rPr>
                <w:rFonts w:ascii="Calibri" w:cs="Calibri" w:eastAsia="Calibri" w:hAnsi="Calibri"/>
                <w:color w:val="333A40"/>
                <w:sz w:val="20"/>
                <w:szCs w:val="20"/>
              </w:rPr>
              <w:t xml:space="preserve">Rather than presenting the Crusades as either a pure epic of faith or a simple land grab, the book weighs material pressure against spiritual anxiety and shows how the two became inseparable.</w:t>
            </w:r>
          </w:p>
          <w:p>
            <w:pPr>
              <w:spacing w:after="110" w:line="276"/>
            </w:pPr>
            <w:r>
              <w:rPr>
                <w:rFonts w:ascii="Calibri" w:cs="Calibri" w:eastAsia="Calibri" w:hAnsi="Calibri"/>
                <w:color w:val="333A40"/>
                <w:sz w:val="20"/>
                <w:szCs w:val="20"/>
              </w:rPr>
              <w:t xml:space="preserve">Written for curious general readers and students, it assumes no prior knowledge of medieval history while engaging openly with the debates among historians.</w:t>
            </w:r>
          </w:p>
          <w:p>
            <w:pPr>
              <w:spacing w:after="110" w:line="276"/>
            </w:pPr>
            <w:r>
              <w:rPr>
                <w:rFonts w:ascii="Calibri" w:cs="Calibri" w:eastAsia="Calibri" w:hAnsi="Calibri"/>
                <w:color w:val="333A40"/>
                <w:sz w:val="20"/>
                <w:szCs w:val="20"/>
              </w:rPr>
              <w:t xml:space="preserve">Start with the forces that set the movement in motion. Volume Two follows its economy; Volume Three, the societies it created in the East.</w:t>
            </w:r>
          </w:p>
        </w:tc>
      </w:tr>
    </w:tbl>
    <w:p>
      <w:pPr>
        <w:pStyle w:val="Heading2"/>
        <w:keepNext/>
        <w:pageBreakBefore/>
      </w:pPr>
      <w:r>
        <w:t xml:space="preserve">4. HTML Description</w:t>
      </w:r>
    </w:p>
    <w:p>
      <w:pPr>
        <w:spacing w:after="120" w:before="0" w:line="288"/>
      </w:pPr>
      <w:r>
        <w:rPr>
          <w:rFonts w:ascii="Calibri" w:cs="Calibri" w:eastAsia="Calibri" w:hAnsi="Calibri"/>
          <w:color w:val="6B7280"/>
          <w:sz w:val="18"/>
          <w:szCs w:val="18"/>
        </w:rPr>
        <w:t xml:space="preserve">Same wording as above, using only &lt;p&gt;, &lt;b&gt;, &lt;ul&gt; and &lt;li&gt;. Length including tags: 1,851 characters (limit 4,000). Paste into the description field’s Source view.</w:t>
      </w: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val="false"/>
        </w:trPr>
        <w:tc>
          <w:tcPr>
            <w:tcW w:type="dxa" w:w="9500"/>
            <w:tcBorders>
              <w:top w:val="none" w:color="FFFFFF" w:sz="0"/>
              <w:left w:val="single" w:color="B08D57" w:sz="18"/>
              <w:bottom w:val="none" w:color="FFFFFF" w:sz="0"/>
              <w:right w:val="none" w:color="FFFFFF" w:sz="0"/>
            </w:tcBorders>
            <w:shd w:fill="F5F6F8"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DESCRIPTION — HTML, READY TO COPY</w:t>
            </w:r>
          </w:p>
          <w:p>
            <w:pPr>
              <w:spacing w:after="30" w:line="250"/>
            </w:pPr>
            <w:r>
              <w:rPr>
                <w:rFonts w:ascii="Consolas" w:cs="Consolas" w:eastAsia="Consolas" w:hAnsi="Consolas"/>
                <w:color w:val="2B3440"/>
                <w:sz w:val="16"/>
                <w:szCs w:val="16"/>
              </w:rPr>
              <w:t xml:space="preserve">&lt;p&gt;&lt;b&gt;Why did knights, peasants, and clergy leave their homes in 1096 for a city most of them would never see?&lt;/b&gt;&lt;/p&gt;</w:t>
            </w:r>
          </w:p>
          <w:p>
            <w:pPr>
              <w:spacing w:after="30" w:line="250"/>
            </w:pPr>
            <w:r>
              <w:rPr>
                <w:rFonts w:ascii="Consolas" w:cs="Consolas" w:eastAsia="Consolas" w:hAnsi="Consolas"/>
                <w:color w:val="2B3440"/>
                <w:sz w:val="16"/>
                <w:szCs w:val="16"/>
              </w:rPr>
              <w:t xml:space="preserve">&lt;p&gt;The first volume of The Crusades Beyond the Battlefield answers that question by looking not at the Holy Land, but at the Europe that produced the crusading movement. Drawing on the accounts of medieval chroniclers and the work of modern historians, it follows a continent that, freed from Viking, Magyar, and Saracen raids, grew crowded, restless, and ready to expand.&lt;/p&gt;</w:t>
            </w:r>
          </w:p>
          <w:p>
            <w:pPr>
              <w:spacing w:after="30" w:line="250"/>
            </w:pPr>
            <w:r>
              <w:rPr>
                <w:rFonts w:ascii="Consolas" w:cs="Consolas" w:eastAsia="Consolas" w:hAnsi="Consolas"/>
                <w:color w:val="2B3440"/>
                <w:sz w:val="16"/>
                <w:szCs w:val="16"/>
              </w:rPr>
              <w:t xml:space="preserve">&lt;p&gt;Inside, you will explore:&lt;/p&gt;</w:t>
            </w:r>
          </w:p>
          <w:p>
            <w:pPr>
              <w:spacing w:after="30" w:line="250"/>
            </w:pPr>
            <w:r>
              <w:rPr>
                <w:rFonts w:ascii="Consolas" w:cs="Consolas" w:eastAsia="Consolas" w:hAnsi="Consolas"/>
                <w:color w:val="2B3440"/>
                <w:sz w:val="16"/>
                <w:szCs w:val="16"/>
              </w:rPr>
              <w:t xml:space="preserve">&lt;ul&gt;</w:t>
            </w:r>
          </w:p>
          <w:p>
            <w:pPr>
              <w:spacing w:after="30" w:line="250"/>
            </w:pPr>
            <w:r>
              <w:rPr>
                <w:rFonts w:ascii="Consolas" w:cs="Consolas" w:eastAsia="Consolas" w:hAnsi="Consolas"/>
                <w:color w:val="2B3440"/>
                <w:sz w:val="16"/>
                <w:szCs w:val="16"/>
              </w:rPr>
              <w:t xml:space="preserve">&lt;li&gt;Population growth, famine, and the land hunger of the eleventh century, including the subsistence crisis of 1094–1095&lt;/li&gt;</w:t>
            </w:r>
          </w:p>
          <w:p>
            <w:pPr>
              <w:spacing w:after="30" w:line="250"/>
            </w:pPr>
            <w:r>
              <w:rPr>
                <w:rFonts w:ascii="Consolas" w:cs="Consolas" w:eastAsia="Consolas" w:hAnsi="Consolas"/>
                <w:color w:val="2B3440"/>
                <w:sz w:val="16"/>
                <w:szCs w:val="16"/>
              </w:rPr>
              <w:t xml:space="preserve">&lt;li&gt;Castles, feudal fragmentation, and the problem of armed younger sons without an inheritance&lt;/li&gt;</w:t>
            </w:r>
          </w:p>
          <w:p>
            <w:pPr>
              <w:spacing w:after="30" w:line="250"/>
            </w:pPr>
            <w:r>
              <w:rPr>
                <w:rFonts w:ascii="Consolas" w:cs="Consolas" w:eastAsia="Consolas" w:hAnsi="Consolas"/>
                <w:color w:val="2B3440"/>
                <w:sz w:val="16"/>
                <w:szCs w:val="16"/>
              </w:rPr>
              <w:t xml:space="preserve">&lt;li&gt;How the reforming papacy of Gregory VII and Urban II turned just war into holy war&lt;/li&gt;</w:t>
            </w:r>
          </w:p>
          <w:p>
            <w:pPr>
              <w:spacing w:after="30" w:line="250"/>
            </w:pPr>
            <w:r>
              <w:rPr>
                <w:rFonts w:ascii="Consolas" w:cs="Consolas" w:eastAsia="Consolas" w:hAnsi="Consolas"/>
                <w:color w:val="2B3440"/>
                <w:sz w:val="16"/>
                <w:szCs w:val="16"/>
              </w:rPr>
              <w:t xml:space="preserve">&lt;li&gt;The Council of Clermont, the crusader’s vow, indulgences, and the legal protections that made departure possible&lt;/li&gt;</w:t>
            </w:r>
          </w:p>
          <w:p>
            <w:pPr>
              <w:spacing w:after="30" w:line="250"/>
            </w:pPr>
            <w:r>
              <w:rPr>
                <w:rFonts w:ascii="Consolas" w:cs="Consolas" w:eastAsia="Consolas" w:hAnsi="Consolas"/>
                <w:color w:val="2B3440"/>
                <w:sz w:val="16"/>
                <w:szCs w:val="16"/>
              </w:rPr>
              <w:t xml:space="preserve">&lt;li&gt;Preachers, troubadours, and propaganda that recruited nobles and the poor alike, from Peter the Hermit to the Tafurs&lt;/li&gt;</w:t>
            </w:r>
          </w:p>
          <w:p>
            <w:pPr>
              <w:spacing w:after="30" w:line="250"/>
            </w:pPr>
            <w:r>
              <w:rPr>
                <w:rFonts w:ascii="Consolas" w:cs="Consolas" w:eastAsia="Consolas" w:hAnsi="Consolas"/>
                <w:color w:val="2B3440"/>
                <w:sz w:val="16"/>
                <w:szCs w:val="16"/>
              </w:rPr>
              <w:t xml:space="preserve">&lt;li&gt;How the image of the “infidel” was built, and how the same hostility turned against Jews and heretics in Europe&lt;/li&gt;</w:t>
            </w:r>
          </w:p>
          <w:p>
            <w:pPr>
              <w:spacing w:after="30" w:line="250"/>
            </w:pPr>
            <w:r>
              <w:rPr>
                <w:rFonts w:ascii="Consolas" w:cs="Consolas" w:eastAsia="Consolas" w:hAnsi="Consolas"/>
                <w:color w:val="2B3440"/>
                <w:sz w:val="16"/>
                <w:szCs w:val="16"/>
              </w:rPr>
              <w:t xml:space="preserve">&lt;li&gt;The maritime cities, the colonial debate, and the taxation that made the crusade an enterprise of states&lt;/li&gt;</w:t>
            </w:r>
          </w:p>
          <w:p>
            <w:pPr>
              <w:spacing w:after="30" w:line="250"/>
            </w:pPr>
            <w:r>
              <w:rPr>
                <w:rFonts w:ascii="Consolas" w:cs="Consolas" w:eastAsia="Consolas" w:hAnsi="Consolas"/>
                <w:color w:val="2B3440"/>
                <w:sz w:val="16"/>
                <w:szCs w:val="16"/>
              </w:rPr>
              <w:t xml:space="preserve">&lt;/ul&gt;</w:t>
            </w:r>
          </w:p>
          <w:p>
            <w:pPr>
              <w:spacing w:after="30" w:line="250"/>
            </w:pPr>
            <w:r>
              <w:rPr>
                <w:rFonts w:ascii="Consolas" w:cs="Consolas" w:eastAsia="Consolas" w:hAnsi="Consolas"/>
                <w:color w:val="2B3440"/>
                <w:sz w:val="16"/>
                <w:szCs w:val="16"/>
              </w:rPr>
              <w:t xml:space="preserve">&lt;p&gt;Rather than presenting the Crusades as either a pure epic of faith or a simple land grab, the book weighs material pressure against spiritual anxiety and shows how the two became inseparable.&lt;/p&gt;</w:t>
            </w:r>
          </w:p>
          <w:p>
            <w:pPr>
              <w:spacing w:after="30" w:line="250"/>
            </w:pPr>
            <w:r>
              <w:rPr>
                <w:rFonts w:ascii="Consolas" w:cs="Consolas" w:eastAsia="Consolas" w:hAnsi="Consolas"/>
                <w:color w:val="2B3440"/>
                <w:sz w:val="16"/>
                <w:szCs w:val="16"/>
              </w:rPr>
              <w:t xml:space="preserve">&lt;p&gt;Written for curious general readers and students, it assumes no prior knowledge of medieval history while engaging openly with the debates among historians.&lt;/p&gt;</w:t>
            </w:r>
          </w:p>
          <w:p>
            <w:pPr>
              <w:spacing w:after="30" w:line="250"/>
            </w:pPr>
            <w:r>
              <w:rPr>
                <w:rFonts w:ascii="Consolas" w:cs="Consolas" w:eastAsia="Consolas" w:hAnsi="Consolas"/>
                <w:color w:val="2B3440"/>
                <w:sz w:val="16"/>
                <w:szCs w:val="16"/>
              </w:rPr>
              <w:t xml:space="preserve">&lt;p&gt;Start with the forces that set the movement in motion. Volume Two follows its economy; Volume Three, the societies it created in the East.&lt;/p&gt;</w:t>
            </w:r>
          </w:p>
        </w:tc>
      </w:tr>
    </w:tbl>
    <w:p>
      <w:pPr>
        <w:pStyle w:val="Heading2"/>
        <w:keepNext/>
        <w:pageBreakBefore/>
      </w:pPr>
      <w:r>
        <w:t xml:space="preserve">5. Categories</w:t>
      </w:r>
    </w:p>
    <w:p>
      <w:pPr>
        <w:spacing w:after="120" w:before="0" w:line="288"/>
      </w:pPr>
      <w:r>
        <w:rPr>
          <w:rFonts w:ascii="Calibri" w:cs="Calibri" w:eastAsia="Calibri" w:hAnsi="Calibri"/>
          <w:b/>
          <w:bCs/>
          <w:color w:val="333A40"/>
          <w:sz w:val="18"/>
          <w:szCs w:val="18"/>
        </w:rPr>
        <w:t xml:space="preserve">Status key.</w:t>
      </w:r>
      <w:r>
        <w:rPr>
          <w:rFonts w:ascii="Calibri" w:cs="Calibri" w:eastAsia="Calibri" w:hAnsi="Calibri"/>
          <w:color w:val="333A40"/>
          <w:sz w:val="18"/>
          <w:szCs w:val="18"/>
        </w:rPr>
        <w:t xml:space="preserve"> “Store: verified” means the category exists as a browse category on Amazon.com and was confirmed through indexed Amazon Best Sellers pages. “Store: filter only” means it appears as a filter inside a broader category. The panel paths are our best expectation of where each category appears in the KDP selector. They must be confirmed in the KDP panel at upload, because the selector could not be accessed without the author’s account. Up to three categories can be chosen per format.</w:t>
      </w:r>
    </w:p>
    <w:p>
      <w:pPr>
        <w:pStyle w:val="Heading3"/>
        <w:keepNext/>
      </w:pPr>
      <w:r>
        <w:t xml:space="preserve">Kindle eBook</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100"/>
        <w:gridCol w:w="2700"/>
        <w:gridCol w:w="1400"/>
        <w:gridCol w:w="3300"/>
      </w:tblGrid>
      <w:tr>
        <w:trPr>
          <w:cantSplit/>
          <w:tblHeader/>
        </w:trPr>
        <w:tc>
          <w:tcPr>
            <w:tcW w:type="dxa" w:w="21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Category</w:t>
            </w:r>
          </w:p>
        </w:tc>
        <w:tc>
          <w:tcPr>
            <w:tcW w:type="dxa" w:w="2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Expected KDP panel path (to confirm)</w:t>
            </w:r>
          </w:p>
        </w:tc>
        <w:tc>
          <w:tcPr>
            <w:tcW w:type="dxa" w:w="14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Status</w:t>
            </w:r>
          </w:p>
        </w:tc>
        <w:tc>
          <w:tcPr>
            <w:tcW w:type="dxa" w:w="33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Why it fits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History of Medieval Europe</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Europe › Medieval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This is the book’s core subject: eleventh-century European society, feudalism and the reform Church.</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Christian Church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Religion &amp; Spirituality › Christianity › Church History</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Gregorian reform, just war and holy war, the Clermont canons, indulgences and the crusade vow make up about a fifth of the book.</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Medieval Military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Military › Medieval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This is where crusade titles cluster. It fits the knightly class, holy-war doctrine and mobilisation.</w:t>
            </w:r>
          </w:p>
        </w:tc>
      </w:tr>
    </w:tbl>
    <w:p>
      <w:pPr>
        <w:spacing w:after="120" w:before="80" w:line="288"/>
      </w:pPr>
      <w:r>
        <w:rPr>
          <w:rFonts w:ascii="Calibri" w:cs="Calibri" w:eastAsia="Calibri" w:hAnsi="Calibri"/>
          <w:color w:val="6B7280"/>
          <w:sz w:val="18"/>
          <w:szCs w:val="18"/>
        </w:rPr>
        <w:t xml:space="preserve">Alternative: Social &amp; Cultural History (store: verified). Use it instead of Medieval Military History if the panel offers both and you prefer to stress the social-history angle.</w:t>
      </w:r>
    </w:p>
    <w:p>
      <w:pPr>
        <w:pStyle w:val="Heading3"/>
        <w:keepNext/>
      </w:pPr>
      <w:r>
        <w:t xml:space="preserve">Paperback</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100"/>
        <w:gridCol w:w="2700"/>
        <w:gridCol w:w="1400"/>
        <w:gridCol w:w="3300"/>
      </w:tblGrid>
      <w:tr>
        <w:trPr>
          <w:cantSplit/>
          <w:tblHeader/>
        </w:trPr>
        <w:tc>
          <w:tcPr>
            <w:tcW w:type="dxa" w:w="21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Category</w:t>
            </w:r>
          </w:p>
        </w:tc>
        <w:tc>
          <w:tcPr>
            <w:tcW w:type="dxa" w:w="2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Expected KDP panel path (to confirm)</w:t>
            </w:r>
          </w:p>
        </w:tc>
        <w:tc>
          <w:tcPr>
            <w:tcW w:type="dxa" w:w="14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Status</w:t>
            </w:r>
          </w:p>
        </w:tc>
        <w:tc>
          <w:tcPr>
            <w:tcW w:type="dxa" w:w="33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Why it fits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Medieval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World › Medieval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This is the closest print match to the book’s scope and period.</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European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Europe › General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A broad but accurate fit for a Europe-centred explanation of the Crusades.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Military History › Medieval</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Military › Medieval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filter only</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This mirrors the Kindle choice. Confirm that the panel offers it as a selectable print category.</w:t>
            </w:r>
          </w:p>
        </w:tc>
      </w:tr>
    </w:tbl>
    <w:p>
      <w:pPr>
        <w:spacing w:after="120" w:before="80" w:line="288"/>
      </w:pPr>
      <w:r>
        <w:rPr>
          <w:rFonts w:ascii="Calibri" w:cs="Calibri" w:eastAsia="Calibri" w:hAnsi="Calibri"/>
          <w:color w:val="6B7280"/>
          <w:sz w:val="18"/>
          <w:szCs w:val="18"/>
        </w:rPr>
        <w:t xml:space="preserve">Alternative: a print Christian church history category, if the paperback panel offers one. Its label could not be verified.</w:t>
      </w:r>
    </w:p>
    <w:p>
      <w:pPr>
        <w:pStyle w:val="Heading2"/>
        <w:keepNext/>
        <w:pageBreakBefore/>
      </w:pPr>
      <w:r>
        <w:t xml:space="preserve">6. Seven Backend Keyword Fields</w:t>
      </w:r>
    </w:p>
    <w:p>
      <w:pPr>
        <w:spacing w:after="120" w:before="0" w:line="288"/>
      </w:pPr>
      <w:r>
        <w:rPr>
          <w:rFonts w:ascii="Calibri" w:cs="Calibri" w:eastAsia="Calibri" w:hAnsi="Calibri"/>
          <w:color w:val="333A40"/>
          <w:sz w:val="18"/>
          <w:szCs w:val="18"/>
        </w:rPr>
        <w:t xml:space="preserve">These are entered in the seven Keywords fields of the KDP details page. They are not Amazon Ads keywords. Each string is at most 50 characters (spaces included), written in lower case without commas, and avoids words already in the title or subtitle. Character counts were calculated by script from the exact strings.</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420"/>
        <w:gridCol w:w="3880"/>
        <w:gridCol w:w="620"/>
        <w:gridCol w:w="1580"/>
        <w:gridCol w:w="3000"/>
      </w:tblGrid>
      <w:tr>
        <w:trPr>
          <w:cantSplit/>
          <w:tblHeader/>
        </w:trPr>
        <w:tc>
          <w:tcPr>
            <w:tcW w:type="dxa" w:w="42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t>
            </w:r>
          </w:p>
        </w:tc>
        <w:tc>
          <w:tcPr>
            <w:tcW w:type="dxa" w:w="388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Keyword string (copy exactly)</w:t>
            </w:r>
          </w:p>
        </w:tc>
        <w:tc>
          <w:tcPr>
            <w:tcW w:type="dxa" w:w="62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Chars</w:t>
            </w:r>
          </w:p>
        </w:tc>
        <w:tc>
          <w:tcPr>
            <w:tcW w:type="dxa" w:w="158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Search intent</w:t>
            </w:r>
          </w:p>
        </w:tc>
        <w:tc>
          <w:tcPr>
            <w:tcW w:type="dxa" w:w="30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Rationale</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1</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first crusade urban ii council of clermont 1095</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47</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Event and person search</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Readers looking for the launch of the movement. These names do not appear in the title or subtitle.</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2</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gregorian reform papacy just war and holy war</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45</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Topic and concept</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Matches Ch. 1, 8 and 9 on the reform papacy and the sacralisation of war.</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3</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knights feudalism younger sons land hunger</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42</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Concept and social history</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Captures the book’s argument about knights and inheritance (Ch. 2–4).</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famine population growth eleventh century peasants</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50</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Concept and period</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the material-crisis chapters and the period without repeating “medieval”.</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5</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peoples crusade peter the hermit pauperes</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41</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Event and person search</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the popular movements and the poor (Ch. 5, 8 and 12). “crusade” appears here only as part of an event name.</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6</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propaganda preaching indulgences armed pilgrimage</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49</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Topic and concept</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recruitment, the crusade vow and penitential warfare (Ch. 9–12).</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7</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colonial expansion geopolitics image of infidels</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48</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Interpretive and debate</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the colonialism debate, the modern comparisons and how the enemy was depicted (Ch. 7 and 13).</w:t>
            </w:r>
          </w:p>
        </w:tc>
      </w:tr>
    </w:tbl>
    <w:p>
      <w:pPr>
        <w:pStyle w:val="Heading1"/>
        <w:keepNext/>
        <w:pageBreakBefore/>
      </w:pPr>
      <w:r>
        <w:t xml:space="preserve">Book Two: The Crusades</w:t>
      </w:r>
    </w:p>
    <w:p>
      <w:pPr>
        <w:spacing w:after="200" w:before="0" w:line="288"/>
      </w:pPr>
      <w:r>
        <w:rPr>
          <w:rFonts w:ascii="Calibri" w:cs="Calibri" w:eastAsia="Calibri" w:hAnsi="Calibri"/>
          <w:i/>
          <w:iCs/>
          <w:color w:val="6B7280"/>
          <w:sz w:val="24"/>
          <w:szCs w:val="24"/>
        </w:rPr>
        <w:t xml:space="preserve">Logistics, Finance, and Trade in the Medieval Mediterranean</w:t>
      </w:r>
    </w:p>
    <w:p>
      <w:pPr>
        <w:pStyle w:val="Heading2"/>
        <w:keepNext/>
      </w:pPr>
      <w:r>
        <w:t xml:space="preserve">1. Positioning</w:t>
      </w: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trPr>
        <w:tc>
          <w:tcPr>
            <w:tcW w:type="dxa" w:w="9500"/>
            <w:tcBorders>
              <w:top w:val="none" w:color="FFFFFF" w:sz="0"/>
              <w:left w:val="single" w:color="B08D57" w:sz="18"/>
              <w:bottom w:val="none" w:color="FFFFFF" w:sz="0"/>
              <w:right w:val="none" w:color="FFFFFF" w:sz="0"/>
            </w:tcBorders>
            <w:shd w:fill="F4F2EE"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POSITIONING IN ONE SENTENCE</w:t>
            </w:r>
          </w:p>
          <w:p>
            <w:pPr>
              <w:spacing w:after="0" w:before="0" w:line="288"/>
            </w:pPr>
            <w:r>
              <w:rPr>
                <w:rFonts w:ascii="Calibri" w:cs="Calibri" w:eastAsia="Calibri" w:hAnsi="Calibri"/>
                <w:color w:val="333A40"/>
                <w:sz w:val="20"/>
                <w:szCs w:val="20"/>
              </w:rPr>
              <w:t xml:space="preserve">An accessible economic history of the Crusades. It follows the ships, contracts, banks and taxes that kept two centuries of overseas war running, and the institutions they left behind. It is positioned between academic logistics studies and general narratives.</w:t>
            </w:r>
          </w:p>
        </w:tc>
      </w:tr>
    </w:tbl>
    <w:p>
      <w:pPr>
        <w:spacing w:after="120" w:before="0"/>
      </w:pPr>
    </w:p>
    <w:p>
      <w:pPr>
        <w:pStyle w:val="Heading3"/>
        <w:keepNext/>
      </w:pPr>
      <w:r>
        <w:t xml:space="preserve">Manuscript at a glance</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500"/>
        <w:gridCol w:w="7000"/>
      </w:tblGrid>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Central subject and thesis</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How crusading was supplied, transported and paid for. The book argues that the movement’s most lasting legacy was economic and institutional, because moving and financing armies drove innovation in logistics, banking, taxation, contracts and trade.</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Period and geography</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1095 to the mid-fourteenth century, with an epilogue to 1453 and the Atlantic voyages. Covers the Italian maritime republics, the Levantine ports (Acre, Tyre), Egypt (Damietta, Mansurah), Cyprus, Constantinople and the Black Sea (Pera, Caffa), plus France, England, Flanders and the Champagne fairs.</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Themes and weight (approx. share of text)</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Logistics and naval technology (Ch. 1–2, ~16%). Maritime republics, goods and currencies (Ch. 3, 8, 9, ~24%). Military Orders and Templar banking (Ch. 4–5, ~20%). Contracts, war finance, taxation and debt (Ch. 6–7, ~16%). Commercial revolution and legacy (Ch. 10–11, ~17%).</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Approach</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Popular economic history. It synthesises specialist scholarship (Pryor, Lopez, Abu-Lughod, Prawer, Riley-Smith, Jackson) with concrete figures: contract prices, cargoes, taxes and ransoms. It draws explicit parallels with modern finance.</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Reader level</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General readers comfortable with some economic vocabulary. The book explains its terms (commenda, foenus nauticum, bill of exchange) as it goes.</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What sets it apart</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General crusade histories mention money in passing. This volume makes supply, credit and trade its subject. It also includes a frank treatment of the slave trade that supplied the Mamluk armies.</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Most suitable audience</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Readers of medieval and economic history, of the history of banking and finance, and of Venice, Genoa and Mediterranean trade. Also students of the commercial revolution.</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Role in the trilogy</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middle volume. It turns the causes described in Book One into the material machinery of the movement and sets up Book Three’s focus on the societies of the Latin East.</w:t>
            </w:r>
          </w:p>
        </w:tc>
      </w:tr>
    </w:tbl>
    <w:p>
      <w:pPr>
        <w:pStyle w:val="Heading2"/>
        <w:keepNext/>
        <w:pageBreakBefore/>
      </w:pPr>
      <w:r>
        <w:t xml:space="preserve">2. Title &amp; Subtitle</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500"/>
        <w:gridCol w:w="7000"/>
      </w:tblGrid>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Title page of the manuscript</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Economy in Motion during the Crusades. Logistics, Finance and Trade</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Working title (client files)</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Crusades: Economy in Motion, Logistics, Finance and Trade</w:t>
            </w:r>
          </w:p>
        </w:tc>
      </w:tr>
    </w:tbl>
    <w:p>
      <w:pPr>
        <w:spacing w:after="100" w:before="0"/>
      </w:pPr>
    </w:p>
    <w:p>
      <w:pPr>
        <w:pStyle w:val="Heading3"/>
        <w:keepNext/>
      </w:pPr>
      <w:r>
        <w:t xml:space="preserve">Assessment</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000"/>
        <w:gridCol w:w="7500"/>
      </w:tblGrid>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Clarity</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“Logistics, Finance and Trade” is very clear. “The Economy in Motion” is evocative but vague, and the two existing versions use it differently.</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Natural English</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Economy in Motion during the Crusades” is grammatical but heavy as a title. The working version lacks a clear grammatical link between the phrase and the list.</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Historical precision</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Accurate. Logistics and ships (~16%), maritime republics and trade (~24%), Military Orders and Templar banking (~20%), contracts, taxation and debt (~16%), commercial revolution and legacy (~17%).</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Reader appeal</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Strong for a distinct audience: readers of economic history, finance and Venice and Genoa. The subtitle should name those hooks plainly.</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Series coherence</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Needs to be brought into the shared pattern (“The Crusades” + triad), which the current manuscript title does not follow.</w:t>
            </w:r>
          </w:p>
        </w:tc>
      </w:tr>
    </w:tbl>
    <w:p>
      <w:pPr>
        <w:spacing w:after="140" w:before="0"/>
      </w:pP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trPr>
        <w:tc>
          <w:tcPr>
            <w:tcW w:type="dxa" w:w="9500"/>
            <w:tcBorders>
              <w:top w:val="none" w:color="FFFFFF" w:sz="0"/>
              <w:left w:val="single" w:color="B08D57" w:sz="18"/>
              <w:bottom w:val="none" w:color="FFFFFF" w:sz="0"/>
              <w:right w:val="none" w:color="FFFFFF" w:sz="0"/>
            </w:tcBorders>
            <w:shd w:fill="F4F2EE"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RECOMMENDED — READY TO USE (SUBJECT TO APPROVAL)</w:t>
            </w:r>
          </w:p>
          <w:p>
            <w:pPr>
              <w:spacing w:after="60"/>
            </w:pPr>
            <w:r>
              <w:rPr>
                <w:rFonts w:ascii="Calibri" w:cs="Calibri" w:eastAsia="Calibri" w:hAnsi="Calibri"/>
                <w:b/>
                <w:bCs/>
                <w:color w:val="1B2A4A"/>
                <w:sz w:val="20"/>
                <w:szCs w:val="20"/>
              </w:rPr>
              <w:t xml:space="preserve">Title:  </w:t>
            </w:r>
            <w:r>
              <w:rPr>
                <w:rFonts w:ascii="Calibri" w:cs="Calibri" w:eastAsia="Calibri" w:hAnsi="Calibri"/>
                <w:color w:val="333A40"/>
                <w:sz w:val="22"/>
                <w:szCs w:val="22"/>
              </w:rPr>
              <w:t xml:space="preserve">The Crusades</w:t>
            </w:r>
          </w:p>
          <w:p>
            <w:pPr>
              <w:spacing w:after="60"/>
            </w:pPr>
            <w:r>
              <w:rPr>
                <w:rFonts w:ascii="Calibri" w:cs="Calibri" w:eastAsia="Calibri" w:hAnsi="Calibri"/>
                <w:b/>
                <w:bCs/>
                <w:color w:val="1B2A4A"/>
                <w:sz w:val="20"/>
                <w:szCs w:val="20"/>
              </w:rPr>
              <w:t xml:space="preserve">Subtitle:  </w:t>
            </w:r>
            <w:r>
              <w:rPr>
                <w:rFonts w:ascii="Calibri" w:cs="Calibri" w:eastAsia="Calibri" w:hAnsi="Calibri"/>
                <w:color w:val="333A40"/>
                <w:sz w:val="22"/>
                <w:szCs w:val="22"/>
              </w:rPr>
              <w:t xml:space="preserve">Logistics, Finance, and Trade in the Medieval Mediterranean</w:t>
            </w:r>
          </w:p>
          <w:p>
            <w:pPr>
              <w:spacing w:after="60"/>
            </w:pPr>
            <w:r>
              <w:rPr>
                <w:rFonts w:ascii="Calibri" w:cs="Calibri" w:eastAsia="Calibri" w:hAnsi="Calibri"/>
                <w:b/>
                <w:bCs/>
                <w:color w:val="1B2A4A"/>
                <w:sz w:val="20"/>
                <w:szCs w:val="20"/>
              </w:rPr>
              <w:t xml:space="preserve">Series name:  </w:t>
            </w:r>
            <w:r>
              <w:rPr>
                <w:rFonts w:ascii="Calibri" w:cs="Calibri" w:eastAsia="Calibri" w:hAnsi="Calibri"/>
                <w:color w:val="333A40"/>
                <w:sz w:val="20"/>
                <w:szCs w:val="20"/>
              </w:rPr>
              <w:t xml:space="preserve">The Crusades Beyond the Battlefield</w:t>
            </w:r>
            <w:r>
              <w:rPr>
                <w:rFonts w:ascii="Calibri" w:cs="Calibri" w:eastAsia="Calibri" w:hAnsi="Calibri"/>
                <w:b/>
                <w:bCs/>
                <w:color w:val="1B2A4A"/>
                <w:sz w:val="20"/>
                <w:szCs w:val="20"/>
              </w:rPr>
              <w:t xml:space="preserve">     Series number:  </w:t>
            </w:r>
            <w:r>
              <w:rPr>
                <w:rFonts w:ascii="Calibri" w:cs="Calibri" w:eastAsia="Calibri" w:hAnsi="Calibri"/>
                <w:color w:val="333A40"/>
                <w:sz w:val="20"/>
                <w:szCs w:val="20"/>
              </w:rPr>
              <w:t xml:space="preserve">2</w:t>
            </w:r>
          </w:p>
          <w:p>
            <w:pPr>
              <w:spacing w:after="0"/>
            </w:pPr>
            <w:r>
              <w:rPr>
                <w:rFonts w:ascii="Calibri" w:cs="Calibri" w:eastAsia="Calibri" w:hAnsi="Calibri"/>
                <w:color w:val="6B7280"/>
                <w:sz w:val="17"/>
                <w:szCs w:val="17"/>
              </w:rPr>
              <w:t xml:space="preserve">Amazon will display: The Crusades: Logistics, Finance, and Trade in the Medieval Mediterranean. Title + subtitle = 71 characters (KDP limit: under 200).</w:t>
            </w:r>
          </w:p>
        </w:tc>
      </w:tr>
    </w:tbl>
    <w:p>
      <w:pPr>
        <w:spacing w:after="100" w:before="0"/>
      </w:pPr>
    </w:p>
    <w:p>
      <w:pPr>
        <w:pStyle w:val="Heading3"/>
        <w:keepNext/>
      </w:pPr>
      <w:r>
        <w:t xml:space="preserve">Why we recommend it</w:t>
      </w:r>
    </w:p>
    <w:p>
      <w:pPr>
        <w:pStyle w:val="ListParagraph"/>
        <w:keepLines/>
        <w:numPr>
          <w:ilvl w:val="0"/>
          <w:numId w:val="2"/>
        </w:numPr>
        <w:spacing w:after="60" w:line="276"/>
      </w:pPr>
      <w:r>
        <w:rPr>
          <w:rFonts w:ascii="Calibri" w:cs="Calibri" w:eastAsia="Calibri" w:hAnsi="Calibri"/>
          <w:color w:val="333A40"/>
          <w:sz w:val="21"/>
          <w:szCs w:val="21"/>
        </w:rPr>
        <w:t xml:space="preserve">The three nouns already describe the book precisely and match where its chapters put their weight.</w:t>
      </w:r>
    </w:p>
    <w:p>
      <w:pPr>
        <w:pStyle w:val="ListParagraph"/>
        <w:keepLines/>
        <w:numPr>
          <w:ilvl w:val="0"/>
          <w:numId w:val="2"/>
        </w:numPr>
        <w:spacing w:after="60" w:line="276"/>
      </w:pPr>
      <w:r>
        <w:rPr>
          <w:rFonts w:ascii="Calibri" w:cs="Calibri" w:eastAsia="Calibri" w:hAnsi="Calibri"/>
          <w:color w:val="333A40"/>
          <w:sz w:val="21"/>
          <w:szCs w:val="21"/>
        </w:rPr>
        <w:t xml:space="preserve">In the working form, “Economy in Motion, Logistics, Finance and Trade” reads as a list of four items. Moving the place to the end removes that ambiguity.</w:t>
      </w:r>
    </w:p>
    <w:p>
      <w:pPr>
        <w:pStyle w:val="ListParagraph"/>
        <w:keepLines/>
        <w:numPr>
          <w:ilvl w:val="0"/>
          <w:numId w:val="2"/>
        </w:numPr>
        <w:spacing w:after="60" w:line="276"/>
      </w:pPr>
      <w:r>
        <w:rPr>
          <w:rFonts w:ascii="Calibri" w:cs="Calibri" w:eastAsia="Calibri" w:hAnsi="Calibri"/>
          <w:color w:val="333A40"/>
          <w:sz w:val="21"/>
          <w:szCs w:val="21"/>
        </w:rPr>
        <w:t xml:space="preserve">“in the Medieval Mediterranean” reflects the book’s geography: Italian ports, the Levant, Cyprus and Egypt, with links to the Black Sea and the Champagne fairs. It also matches how readers of economic and maritime history search.</w:t>
      </w:r>
    </w:p>
    <w:p>
      <w:pPr>
        <w:pStyle w:val="ListParagraph"/>
        <w:keepLines/>
        <w:numPr>
          <w:ilvl w:val="0"/>
          <w:numId w:val="2"/>
        </w:numPr>
        <w:spacing w:after="60" w:line="276"/>
      </w:pPr>
      <w:r>
        <w:rPr>
          <w:rFonts w:ascii="Calibri" w:cs="Calibri" w:eastAsia="Calibri" w:hAnsi="Calibri"/>
          <w:color w:val="333A40"/>
          <w:sz w:val="21"/>
          <w:szCs w:val="21"/>
        </w:rPr>
        <w:t xml:space="preserve">It mirrors Books One and Three exactly in structure.</w:t>
      </w:r>
    </w:p>
    <w:p>
      <w:pPr>
        <w:pStyle w:val="Heading3"/>
        <w:keepNext/>
      </w:pPr>
      <w:r>
        <w:t xml:space="preserve">Alternatives (maximum two)</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1600"/>
        <w:gridCol w:w="3700"/>
        <w:gridCol w:w="4200"/>
      </w:tblGrid>
      <w:tr>
        <w:trPr>
          <w:cantSplit/>
          <w:tblHeader/>
        </w:trPr>
        <w:tc>
          <w:tcPr>
            <w:tcW w:type="dxa" w:w="16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Title</w:t>
            </w:r>
          </w:p>
        </w:tc>
        <w:tc>
          <w:tcPr>
            <w:tcW w:type="dxa" w:w="3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Subtitle</w:t>
            </w:r>
          </w:p>
        </w:tc>
        <w:tc>
          <w:tcPr>
            <w:tcW w:type="dxa" w:w="42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Note</w:t>
            </w:r>
          </w:p>
        </w:tc>
      </w:tr>
      <w:tr>
        <w:trPr>
          <w:cantSplit/>
        </w:trPr>
        <w:tc>
          <w:tcPr>
            <w:tcW w:type="dxa" w:w="16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The Crusades</w:t>
            </w:r>
          </w:p>
        </w:tc>
        <w:tc>
          <w:tcPr>
            <w:tcW w:type="dxa" w:w="37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An Economy in Motion: Logistics, Finance, and Trade</w:t>
            </w:r>
          </w:p>
        </w:tc>
        <w:tc>
          <w:tcPr>
            <w:tcW w:type="dxa" w:w="42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Keeps the author’s phrase “Economy in Motion”. Amazon would show two colons in a row, and the phrase is less searchable than a place.</w:t>
            </w:r>
          </w:p>
        </w:tc>
      </w:tr>
      <w:tr>
        <w:trPr>
          <w:cantSplit/>
        </w:trPr>
        <w:tc>
          <w:tcPr>
            <w:tcW w:type="dxa" w:w="16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The Crusades</w:t>
            </w:r>
          </w:p>
        </w:tc>
        <w:tc>
          <w:tcPr>
            <w:tcW w:type="dxa" w:w="37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Logistics, Finance, and Trade: How Holy War Transformed Europe’s Economy</w:t>
            </w:r>
          </w:p>
        </w:tc>
        <w:tc>
          <w:tcPr>
            <w:tcW w:type="dxa" w:w="42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States the thesis directly. It is more interpretive, so it should be used only if the author is comfortable with a stronger claim on the cover.</w:t>
            </w:r>
          </w:p>
        </w:tc>
      </w:tr>
    </w:tbl>
    <w:p>
      <w:pPr>
        <w:pStyle w:val="Heading2"/>
        <w:keepNext/>
        <w:pageBreakBefore/>
      </w:pPr>
      <w:r>
        <w:t xml:space="preserve">3. Amazon Description</w:t>
      </w:r>
    </w:p>
    <w:p>
      <w:pPr>
        <w:spacing w:after="120" w:before="0" w:line="288"/>
      </w:pPr>
      <w:r>
        <w:rPr>
          <w:rFonts w:ascii="Calibri" w:cs="Calibri" w:eastAsia="Calibri" w:hAnsi="Calibri"/>
          <w:color w:val="6B7280"/>
          <w:sz w:val="18"/>
          <w:szCs w:val="18"/>
        </w:rPr>
        <w:t xml:space="preserve">Plain-text version: 297 words, 1,840 characters including spaces (KDP limit: 4,000).</w:t>
      </w: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val="false"/>
        </w:trPr>
        <w:tc>
          <w:tcPr>
            <w:tcW w:type="dxa" w:w="9500"/>
            <w:tcBorders>
              <w:top w:val="none" w:color="FFFFFF" w:sz="0"/>
              <w:left w:val="single" w:color="B08D57" w:sz="18"/>
              <w:bottom w:val="none" w:color="FFFFFF" w:sz="0"/>
              <w:right w:val="none" w:color="FFFFFF" w:sz="0"/>
            </w:tcBorders>
            <w:shd w:fill="FBFAF7"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DESCRIPTION — PLAIN TEXT, READY TO COPY</w:t>
            </w:r>
          </w:p>
          <w:p>
            <w:pPr>
              <w:spacing w:after="110" w:line="276"/>
            </w:pPr>
            <w:r>
              <w:rPr>
                <w:rFonts w:ascii="Calibri" w:cs="Calibri" w:eastAsia="Calibri" w:hAnsi="Calibri"/>
                <w:b/>
                <w:bCs/>
                <w:color w:val="333A40"/>
                <w:sz w:val="20"/>
                <w:szCs w:val="20"/>
              </w:rPr>
              <w:t xml:space="preserve">In 1201, French envoys agreed to pay Venice 85,000 marks to carry a crusading army of 33,500 men. The army that arrived was a fraction of that size, the debt could not be paid, and the expedition ended at Constantinople.</w:t>
            </w:r>
          </w:p>
          <w:p>
            <w:pPr>
              <w:spacing w:after="110" w:line="276"/>
            </w:pPr>
            <w:r>
              <w:rPr>
                <w:rFonts w:ascii="Calibri" w:cs="Calibri" w:eastAsia="Calibri" w:hAnsi="Calibri"/>
                <w:color w:val="333A40"/>
                <w:sz w:val="20"/>
                <w:szCs w:val="20"/>
              </w:rPr>
              <w:t xml:space="preserve">Armies run on grain, horses, ships, and credit. The second volume of The Crusades Beyond the Battlefield follows the supplies and the money behind two centuries of crusading, and argues that the movement’s most lasting legacy was economic and institutional rather than territorial.</w:t>
            </w:r>
          </w:p>
          <w:p>
            <w:pPr>
              <w:spacing w:after="110" w:line="276"/>
            </w:pPr>
            <w:r>
              <w:rPr>
                <w:rFonts w:ascii="Calibri" w:cs="Calibri" w:eastAsia="Calibri" w:hAnsi="Calibri"/>
                <w:b/>
                <w:bCs/>
                <w:color w:val="333A40"/>
                <w:sz w:val="20"/>
                <w:szCs w:val="20"/>
              </w:rPr>
              <w:t xml:space="preserve">Logistics. </w:t>
            </w:r>
            <w:r>
              <w:rPr>
                <w:rFonts w:ascii="Calibri" w:cs="Calibri" w:eastAsia="Calibri" w:hAnsi="Calibri"/>
                <w:color w:val="333A40"/>
                <w:sz w:val="20"/>
                <w:szCs w:val="20"/>
              </w:rPr>
              <w:t xml:space="preserve">From starvation at Antioch to the severed supply line at Mansurah, campaigns were often decided by supply rather than valor. Frederick II, by contrast, recovered Jerusalem in 1229 through preparation and negotiation.</w:t>
            </w:r>
          </w:p>
          <w:p>
            <w:pPr>
              <w:spacing w:after="110" w:line="276"/>
            </w:pPr>
            <w:r>
              <w:rPr>
                <w:rFonts w:ascii="Calibri" w:cs="Calibri" w:eastAsia="Calibri" w:hAnsi="Calibri"/>
                <w:b/>
                <w:bCs/>
                <w:color w:val="333A40"/>
                <w:sz w:val="20"/>
                <w:szCs w:val="20"/>
              </w:rPr>
              <w:t xml:space="preserve">Ships and ports. </w:t>
            </w:r>
            <w:r>
              <w:rPr>
                <w:rFonts w:ascii="Calibri" w:cs="Calibri" w:eastAsia="Calibri" w:hAnsi="Calibri"/>
                <w:color w:val="333A40"/>
                <w:sz w:val="20"/>
                <w:szCs w:val="20"/>
              </w:rPr>
              <w:t xml:space="preserve">Round ships, galleys, and horse transports with stern ramps; the Venetian and Genoese quarters of Acre and Tyre; and the rivalry that exploded in the War of Saint Sabas.</w:t>
            </w:r>
          </w:p>
          <w:p>
            <w:pPr>
              <w:spacing w:after="110" w:line="276"/>
            </w:pPr>
            <w:r>
              <w:rPr>
                <w:rFonts w:ascii="Calibri" w:cs="Calibri" w:eastAsia="Calibri" w:hAnsi="Calibri"/>
                <w:b/>
                <w:bCs/>
                <w:color w:val="333A40"/>
                <w:sz w:val="20"/>
                <w:szCs w:val="20"/>
              </w:rPr>
              <w:t xml:space="preserve">Banking and war finance. </w:t>
            </w:r>
            <w:r>
              <w:rPr>
                <w:rFonts w:ascii="Calibri" w:cs="Calibri" w:eastAsia="Calibri" w:hAnsi="Calibri"/>
                <w:color w:val="333A40"/>
                <w:sz w:val="20"/>
                <w:szCs w:val="20"/>
              </w:rPr>
              <w:t xml:space="preserve">Templar letters of credit, the Saladin Tithe, papal taxes on the clergy, and the royal loans that bound kings to Italian bankers, until the great Florentine companies failed in the 1340s.</w:t>
            </w:r>
          </w:p>
          <w:p>
            <w:pPr>
              <w:spacing w:after="110" w:line="276"/>
            </w:pPr>
            <w:r>
              <w:rPr>
                <w:rFonts w:ascii="Calibri" w:cs="Calibri" w:eastAsia="Calibri" w:hAnsi="Calibri"/>
                <w:b/>
                <w:bCs/>
                <w:color w:val="333A40"/>
                <w:sz w:val="20"/>
                <w:szCs w:val="20"/>
              </w:rPr>
              <w:t xml:space="preserve">Contracts and markets. </w:t>
            </w:r>
            <w:r>
              <w:rPr>
                <w:rFonts w:ascii="Calibri" w:cs="Calibri" w:eastAsia="Calibri" w:hAnsi="Calibri"/>
                <w:color w:val="333A40"/>
                <w:sz w:val="20"/>
                <w:szCs w:val="20"/>
              </w:rPr>
              <w:t xml:space="preserve">The commenda, maritime loans, bills of exchange, double-entry bookkeeping, gold florins and ducats, and the clearing role of the Champagne fairs.</w:t>
            </w:r>
          </w:p>
          <w:p>
            <w:pPr>
              <w:spacing w:after="110" w:line="276"/>
            </w:pPr>
            <w:r>
              <w:rPr>
                <w:rFonts w:ascii="Calibri" w:cs="Calibri" w:eastAsia="Calibri" w:hAnsi="Calibri"/>
                <w:b/>
                <w:bCs/>
                <w:color w:val="333A40"/>
                <w:sz w:val="20"/>
                <w:szCs w:val="20"/>
              </w:rPr>
              <w:t xml:space="preserve">Trade and its human cost. </w:t>
            </w:r>
            <w:r>
              <w:rPr>
                <w:rFonts w:ascii="Calibri" w:cs="Calibri" w:eastAsia="Calibri" w:hAnsi="Calibri"/>
                <w:color w:val="333A40"/>
                <w:sz w:val="20"/>
                <w:szCs w:val="20"/>
              </w:rPr>
              <w:t xml:space="preserve">Spices, sugar, cotton, and silk, alongside a slave trade that supplied the Mamluk armies that would later destroy the crusader states.</w:t>
            </w:r>
          </w:p>
          <w:p>
            <w:pPr>
              <w:spacing w:after="110" w:line="276"/>
            </w:pPr>
            <w:r>
              <w:rPr>
                <w:rFonts w:ascii="Calibri" w:cs="Calibri" w:eastAsia="Calibri" w:hAnsi="Calibri"/>
                <w:color w:val="333A40"/>
                <w:sz w:val="20"/>
                <w:szCs w:val="20"/>
              </w:rPr>
              <w:t xml:space="preserve">The story ends where the eastern routes closed and Europe turned toward the Atlantic.</w:t>
            </w:r>
          </w:p>
          <w:p>
            <w:pPr>
              <w:spacing w:after="110" w:line="276"/>
            </w:pPr>
            <w:r>
              <w:rPr>
                <w:rFonts w:ascii="Calibri" w:cs="Calibri" w:eastAsia="Calibri" w:hAnsi="Calibri"/>
                <w:color w:val="333A40"/>
                <w:sz w:val="20"/>
                <w:szCs w:val="20"/>
              </w:rPr>
              <w:t xml:space="preserve">Clear and accessible, the book is written for readers of medieval history, economic history, and the origins of modern finance. It can be read on its own or as the second volume of the trilogy, between the European origins of the Crusades and the shared institutions of the Latin East.</w:t>
            </w:r>
          </w:p>
        </w:tc>
      </w:tr>
    </w:tbl>
    <w:p>
      <w:pPr>
        <w:pStyle w:val="Heading2"/>
        <w:keepNext/>
        <w:pageBreakBefore/>
      </w:pPr>
      <w:r>
        <w:t xml:space="preserve">4. HTML Description</w:t>
      </w:r>
    </w:p>
    <w:p>
      <w:pPr>
        <w:spacing w:after="120" w:before="0" w:line="288"/>
      </w:pPr>
      <w:r>
        <w:rPr>
          <w:rFonts w:ascii="Calibri" w:cs="Calibri" w:eastAsia="Calibri" w:hAnsi="Calibri"/>
          <w:color w:val="6B7280"/>
          <w:sz w:val="18"/>
          <w:szCs w:val="18"/>
        </w:rPr>
        <w:t xml:space="preserve">Same wording as above, using only &lt;p&gt;, &lt;b&gt;, &lt;ul&gt; and &lt;li&gt;. Length including tags: 1,937 characters (limit 4,000). Paste into the description field’s Source view.</w:t>
      </w: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val="false"/>
        </w:trPr>
        <w:tc>
          <w:tcPr>
            <w:tcW w:type="dxa" w:w="9500"/>
            <w:tcBorders>
              <w:top w:val="none" w:color="FFFFFF" w:sz="0"/>
              <w:left w:val="single" w:color="B08D57" w:sz="18"/>
              <w:bottom w:val="none" w:color="FFFFFF" w:sz="0"/>
              <w:right w:val="none" w:color="FFFFFF" w:sz="0"/>
            </w:tcBorders>
            <w:shd w:fill="F5F6F8"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DESCRIPTION — HTML, READY TO COPY</w:t>
            </w:r>
          </w:p>
          <w:p>
            <w:pPr>
              <w:spacing w:after="30" w:line="250"/>
            </w:pPr>
            <w:r>
              <w:rPr>
                <w:rFonts w:ascii="Consolas" w:cs="Consolas" w:eastAsia="Consolas" w:hAnsi="Consolas"/>
                <w:color w:val="2B3440"/>
                <w:sz w:val="16"/>
                <w:szCs w:val="16"/>
              </w:rPr>
              <w:t xml:space="preserve">&lt;p&gt;&lt;b&gt;In 1201, French envoys agreed to pay Venice 85,000 marks to carry a crusading army of 33,500 men. The army that arrived was a fraction of that size, the debt could not be paid, and the expedition ended at Constantinople.&lt;/b&gt;&lt;/p&gt;</w:t>
            </w:r>
          </w:p>
          <w:p>
            <w:pPr>
              <w:spacing w:after="30" w:line="250"/>
            </w:pPr>
            <w:r>
              <w:rPr>
                <w:rFonts w:ascii="Consolas" w:cs="Consolas" w:eastAsia="Consolas" w:hAnsi="Consolas"/>
                <w:color w:val="2B3440"/>
                <w:sz w:val="16"/>
                <w:szCs w:val="16"/>
              </w:rPr>
              <w:t xml:space="preserve">&lt;p&gt;Armies run on grain, horses, ships, and credit. The second volume of The Crusades Beyond the Battlefield follows the supplies and the money behind two centuries of crusading, and argues that the movement’s most lasting legacy was economic and institutional rather than territorial.&lt;/p&gt;</w:t>
            </w:r>
          </w:p>
          <w:p>
            <w:pPr>
              <w:spacing w:after="30" w:line="250"/>
            </w:pPr>
            <w:r>
              <w:rPr>
                <w:rFonts w:ascii="Consolas" w:cs="Consolas" w:eastAsia="Consolas" w:hAnsi="Consolas"/>
                <w:color w:val="2B3440"/>
                <w:sz w:val="16"/>
                <w:szCs w:val="16"/>
              </w:rPr>
              <w:t xml:space="preserve">&lt;p&gt;&lt;b&gt;Logistics.&lt;/b&gt; From starvation at Antioch to the severed supply line at Mansurah, campaigns were often decided by supply rather than valor. Frederick II, by contrast, recovered Jerusalem in 1229 through preparation and negotiation.&lt;/p&gt;</w:t>
            </w:r>
          </w:p>
          <w:p>
            <w:pPr>
              <w:spacing w:after="30" w:line="250"/>
            </w:pPr>
            <w:r>
              <w:rPr>
                <w:rFonts w:ascii="Consolas" w:cs="Consolas" w:eastAsia="Consolas" w:hAnsi="Consolas"/>
                <w:color w:val="2B3440"/>
                <w:sz w:val="16"/>
                <w:szCs w:val="16"/>
              </w:rPr>
              <w:t xml:space="preserve">&lt;p&gt;&lt;b&gt;Ships and ports.&lt;/b&gt; Round ships, galleys, and horse transports with stern ramps; the Venetian and Genoese quarters of Acre and Tyre; and the rivalry that exploded in the War of Saint Sabas.&lt;/p&gt;</w:t>
            </w:r>
          </w:p>
          <w:p>
            <w:pPr>
              <w:spacing w:after="30" w:line="250"/>
            </w:pPr>
            <w:r>
              <w:rPr>
                <w:rFonts w:ascii="Consolas" w:cs="Consolas" w:eastAsia="Consolas" w:hAnsi="Consolas"/>
                <w:color w:val="2B3440"/>
                <w:sz w:val="16"/>
                <w:szCs w:val="16"/>
              </w:rPr>
              <w:t xml:space="preserve">&lt;p&gt;&lt;b&gt;Banking and war finance.&lt;/b&gt; Templar letters of credit, the Saladin Tithe, papal taxes on the clergy, and the royal loans that bound kings to Italian bankers, until the great Florentine companies failed in the 1340s.&lt;/p&gt;</w:t>
            </w:r>
          </w:p>
          <w:p>
            <w:pPr>
              <w:spacing w:after="30" w:line="250"/>
            </w:pPr>
            <w:r>
              <w:rPr>
                <w:rFonts w:ascii="Consolas" w:cs="Consolas" w:eastAsia="Consolas" w:hAnsi="Consolas"/>
                <w:color w:val="2B3440"/>
                <w:sz w:val="16"/>
                <w:szCs w:val="16"/>
              </w:rPr>
              <w:t xml:space="preserve">&lt;p&gt;&lt;b&gt;Contracts and markets.&lt;/b&gt; The commenda, maritime loans, bills of exchange, double-entry bookkeeping, gold florins and ducats, and the clearing role of the Champagne fairs.&lt;/p&gt;</w:t>
            </w:r>
          </w:p>
          <w:p>
            <w:pPr>
              <w:spacing w:after="30" w:line="250"/>
            </w:pPr>
            <w:r>
              <w:rPr>
                <w:rFonts w:ascii="Consolas" w:cs="Consolas" w:eastAsia="Consolas" w:hAnsi="Consolas"/>
                <w:color w:val="2B3440"/>
                <w:sz w:val="16"/>
                <w:szCs w:val="16"/>
              </w:rPr>
              <w:t xml:space="preserve">&lt;p&gt;&lt;b&gt;Trade and its human cost.&lt;/b&gt; Spices, sugar, cotton, and silk, alongside a slave trade that supplied the Mamluk armies that would later destroy the crusader states.&lt;/p&gt;</w:t>
            </w:r>
          </w:p>
          <w:p>
            <w:pPr>
              <w:spacing w:after="30" w:line="250"/>
            </w:pPr>
            <w:r>
              <w:rPr>
                <w:rFonts w:ascii="Consolas" w:cs="Consolas" w:eastAsia="Consolas" w:hAnsi="Consolas"/>
                <w:color w:val="2B3440"/>
                <w:sz w:val="16"/>
                <w:szCs w:val="16"/>
              </w:rPr>
              <w:t xml:space="preserve">&lt;p&gt;The story ends where the eastern routes closed and Europe turned toward the Atlantic.&lt;/p&gt;</w:t>
            </w:r>
          </w:p>
          <w:p>
            <w:pPr>
              <w:spacing w:after="30" w:line="250"/>
            </w:pPr>
            <w:r>
              <w:rPr>
                <w:rFonts w:ascii="Consolas" w:cs="Consolas" w:eastAsia="Consolas" w:hAnsi="Consolas"/>
                <w:color w:val="2B3440"/>
                <w:sz w:val="16"/>
                <w:szCs w:val="16"/>
              </w:rPr>
              <w:t xml:space="preserve">&lt;p&gt;Clear and accessible, the book is written for readers of medieval history, economic history, and the origins of modern finance. It can be read on its own or as the second volume of the trilogy, between the European origins of the Crusades and the shared institutions of the Latin East.&lt;/p&gt;</w:t>
            </w:r>
          </w:p>
        </w:tc>
      </w:tr>
    </w:tbl>
    <w:p>
      <w:pPr>
        <w:pStyle w:val="Heading2"/>
        <w:keepNext/>
        <w:pageBreakBefore/>
      </w:pPr>
      <w:r>
        <w:t xml:space="preserve">5. Categories</w:t>
      </w:r>
    </w:p>
    <w:p>
      <w:pPr>
        <w:spacing w:after="120" w:before="0" w:line="288"/>
      </w:pPr>
      <w:r>
        <w:rPr>
          <w:rFonts w:ascii="Calibri" w:cs="Calibri" w:eastAsia="Calibri" w:hAnsi="Calibri"/>
          <w:b/>
          <w:bCs/>
          <w:color w:val="333A40"/>
          <w:sz w:val="18"/>
          <w:szCs w:val="18"/>
        </w:rPr>
        <w:t xml:space="preserve">Status key.</w:t>
      </w:r>
      <w:r>
        <w:rPr>
          <w:rFonts w:ascii="Calibri" w:cs="Calibri" w:eastAsia="Calibri" w:hAnsi="Calibri"/>
          <w:color w:val="333A40"/>
          <w:sz w:val="18"/>
          <w:szCs w:val="18"/>
        </w:rPr>
        <w:t xml:space="preserve"> “Store: verified” means the category exists as a browse category on Amazon.com and was confirmed through indexed Amazon Best Sellers pages. “Store: filter only” means it appears as a filter inside a broader category. The panel paths are our best expectation of where each category appears in the KDP selector. They must be confirmed in the KDP panel at upload, because the selector could not be accessed without the author’s account. Up to three categories can be chosen per format.</w:t>
      </w:r>
    </w:p>
    <w:p>
      <w:pPr>
        <w:pStyle w:val="Heading3"/>
        <w:keepNext/>
      </w:pPr>
      <w:r>
        <w:t xml:space="preserve">Kindle eBook</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100"/>
        <w:gridCol w:w="2700"/>
        <w:gridCol w:w="1400"/>
        <w:gridCol w:w="3300"/>
      </w:tblGrid>
      <w:tr>
        <w:trPr>
          <w:cantSplit/>
          <w:tblHeader/>
        </w:trPr>
        <w:tc>
          <w:tcPr>
            <w:tcW w:type="dxa" w:w="21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Category</w:t>
            </w:r>
          </w:p>
        </w:tc>
        <w:tc>
          <w:tcPr>
            <w:tcW w:type="dxa" w:w="2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Expected KDP panel path (to confirm)</w:t>
            </w:r>
          </w:p>
        </w:tc>
        <w:tc>
          <w:tcPr>
            <w:tcW w:type="dxa" w:w="14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Status</w:t>
            </w:r>
          </w:p>
        </w:tc>
        <w:tc>
          <w:tcPr>
            <w:tcW w:type="dxa" w:w="33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Why it fits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Economic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Business &amp; Money › Economics › Economic History</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This is the book’s primary subject and the category that most clearly separates it from general crusade titles.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History of Medieval Europe</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Europe › Medieval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Covers the period. It includes the commercial revolution, banking and the transformation of European society (Ch. 6, 10).</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Medieval Military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Military › Medieval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Fits the logistics of holy war, naval transport and war finance. It also keeps the book next to other crusade titles.</w:t>
            </w:r>
          </w:p>
        </w:tc>
      </w:tr>
    </w:tbl>
    <w:p>
      <w:pPr>
        <w:spacing w:after="120" w:before="80" w:line="288"/>
      </w:pPr>
      <w:r>
        <w:rPr>
          <w:rFonts w:ascii="Calibri" w:cs="Calibri" w:eastAsia="Calibri" w:hAnsi="Calibri"/>
          <w:color w:val="6B7280"/>
          <w:sz w:val="18"/>
          <w:szCs w:val="18"/>
        </w:rPr>
        <w:t xml:space="preserve">Alternative: Social &amp; Cultural History (store: verified), only if Medieval Military History is not offered in the Kindle panel.</w:t>
      </w:r>
    </w:p>
    <w:p>
      <w:pPr>
        <w:pStyle w:val="Heading3"/>
        <w:keepNext/>
      </w:pPr>
      <w:r>
        <w:t xml:space="preserve">Paperback</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100"/>
        <w:gridCol w:w="2700"/>
        <w:gridCol w:w="1400"/>
        <w:gridCol w:w="3300"/>
      </w:tblGrid>
      <w:tr>
        <w:trPr>
          <w:cantSplit/>
          <w:tblHeader/>
        </w:trPr>
        <w:tc>
          <w:tcPr>
            <w:tcW w:type="dxa" w:w="21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Category</w:t>
            </w:r>
          </w:p>
        </w:tc>
        <w:tc>
          <w:tcPr>
            <w:tcW w:type="dxa" w:w="2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Expected KDP panel path (to confirm)</w:t>
            </w:r>
          </w:p>
        </w:tc>
        <w:tc>
          <w:tcPr>
            <w:tcW w:type="dxa" w:w="14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Status</w:t>
            </w:r>
          </w:p>
        </w:tc>
        <w:tc>
          <w:tcPr>
            <w:tcW w:type="dxa" w:w="33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Why it fits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Economic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Business &amp; Money › Economics › Economic History</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Primary subject. This node is listed in the print store (Books).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Medieval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World › Medieval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Covers the period for print browsers.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European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Europe › General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Covers the Italian republics, the Champagne fairs and European state finance.</w:t>
            </w:r>
          </w:p>
        </w:tc>
      </w:tr>
    </w:tbl>
    <w:p>
      <w:pPr>
        <w:spacing w:after="120" w:before="80" w:line="288"/>
      </w:pPr>
      <w:r>
        <w:rPr>
          <w:rFonts w:ascii="Calibri" w:cs="Calibri" w:eastAsia="Calibri" w:hAnsi="Calibri"/>
          <w:color w:val="6B7280"/>
          <w:sz w:val="18"/>
          <w:szCs w:val="18"/>
        </w:rPr>
        <w:t xml:space="preserve">Alternative: Military History › Medieval (store: filter only), if you prefer to keep all three paperbacks in one shared category.</w:t>
      </w:r>
    </w:p>
    <w:p>
      <w:pPr>
        <w:pStyle w:val="Heading2"/>
        <w:keepNext/>
        <w:pageBreakBefore/>
      </w:pPr>
      <w:r>
        <w:t xml:space="preserve">6. Seven Backend Keyword Fields</w:t>
      </w:r>
    </w:p>
    <w:p>
      <w:pPr>
        <w:spacing w:after="120" w:before="0" w:line="288"/>
      </w:pPr>
      <w:r>
        <w:rPr>
          <w:rFonts w:ascii="Calibri" w:cs="Calibri" w:eastAsia="Calibri" w:hAnsi="Calibri"/>
          <w:color w:val="333A40"/>
          <w:sz w:val="18"/>
          <w:szCs w:val="18"/>
        </w:rPr>
        <w:t xml:space="preserve">These are entered in the seven Keywords fields of the KDP details page. They are not Amazon Ads keywords. Each string is at most 50 characters (spaces included), written in lower case without commas, and avoids words already in the title or subtitle. Character counts were calculated by script from the exact strings.</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420"/>
        <w:gridCol w:w="3880"/>
        <w:gridCol w:w="620"/>
        <w:gridCol w:w="1580"/>
        <w:gridCol w:w="3000"/>
      </w:tblGrid>
      <w:tr>
        <w:trPr>
          <w:cantSplit/>
          <w:tblHeader/>
        </w:trPr>
        <w:tc>
          <w:tcPr>
            <w:tcW w:type="dxa" w:w="42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t>
            </w:r>
          </w:p>
        </w:tc>
        <w:tc>
          <w:tcPr>
            <w:tcW w:type="dxa" w:w="388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Keyword string (copy exactly)</w:t>
            </w:r>
          </w:p>
        </w:tc>
        <w:tc>
          <w:tcPr>
            <w:tcW w:type="dxa" w:w="62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Chars</w:t>
            </w:r>
          </w:p>
        </w:tc>
        <w:tc>
          <w:tcPr>
            <w:tcW w:type="dxa" w:w="158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Search intent</w:t>
            </w:r>
          </w:p>
        </w:tc>
        <w:tc>
          <w:tcPr>
            <w:tcW w:type="dxa" w:w="30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Rationale</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1</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knights templar banking letters of credit</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41</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Topic and institution</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This is the longest chapter (Ch. 5). Templar banking has strong interest of its own.</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2</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venice genoa pisa maritime republics</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36</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Place and institution</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Reaches readers of Italian and maritime history (Ch. 3).</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3</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commercial revolution merchant capitalism origins</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49</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Concept and debate</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Matches the book’s main thesis and the standard term used by economic historians.</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commenda bill of exchange double entry bookkeeping</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50</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Specific instrument</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precise long-tail searches for the financial instruments in Ch. 6 and 10.</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5</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saladin tithe papal taxation sovereign debt</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43</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Topic and concept</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war finance and taxation (Ch. 7) without repeating “finance”.</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6</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spice route sugar plantations slave trade acre</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46</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Goods and place</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the trade chapter (Ch. 8), including its treatment of slavery.</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7</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galleys horse transports supply chain louis ix</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46</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Topic and person</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naval logistics and the Seventh Crusade case study (Ch. 1–2).</w:t>
            </w:r>
          </w:p>
        </w:tc>
      </w:tr>
    </w:tbl>
    <w:p>
      <w:pPr>
        <w:pStyle w:val="Heading1"/>
        <w:keepNext/>
        <w:pageBreakBefore/>
      </w:pPr>
      <w:r>
        <w:t xml:space="preserve">Book Three: The Crusades</w:t>
      </w:r>
    </w:p>
    <w:p>
      <w:pPr>
        <w:spacing w:after="200" w:before="0" w:line="288"/>
      </w:pPr>
      <w:r>
        <w:rPr>
          <w:rFonts w:ascii="Calibri" w:cs="Calibri" w:eastAsia="Calibri" w:hAnsi="Calibri"/>
          <w:i/>
          <w:iCs/>
          <w:color w:val="6B7280"/>
          <w:sz w:val="24"/>
          <w:szCs w:val="24"/>
        </w:rPr>
        <w:t xml:space="preserve">Collision, Integration, and Institutions in the Crusader States</w:t>
      </w:r>
    </w:p>
    <w:p>
      <w:pPr>
        <w:pStyle w:val="Heading2"/>
        <w:keepNext/>
      </w:pPr>
      <w:r>
        <w:t xml:space="preserve">1. Positioning</w:t>
      </w: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trPr>
        <w:tc>
          <w:tcPr>
            <w:tcW w:type="dxa" w:w="9500"/>
            <w:tcBorders>
              <w:top w:val="none" w:color="FFFFFF" w:sz="0"/>
              <w:left w:val="single" w:color="B08D57" w:sz="18"/>
              <w:bottom w:val="none" w:color="FFFFFF" w:sz="0"/>
              <w:right w:val="none" w:color="FFFFFF" w:sz="0"/>
            </w:tcBorders>
            <w:shd w:fill="F4F2EE"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POSITIONING IN ONE SENTENCE</w:t>
            </w:r>
          </w:p>
          <w:p>
            <w:pPr>
              <w:spacing w:after="0" w:before="0" w:line="288"/>
            </w:pPr>
            <w:r>
              <w:rPr>
                <w:rFonts w:ascii="Calibri" w:cs="Calibri" w:eastAsia="Calibri" w:hAnsi="Calibri"/>
                <w:color w:val="333A40"/>
                <w:sz w:val="20"/>
                <w:szCs w:val="20"/>
              </w:rPr>
              <w:t xml:space="preserve">A social and institutional history of the Crusader States. It looks past the battlefield to the diplomacy, courts, markets, hospitals and households of the Latin East, while acknowledging the violence of conquest and the limits of exchange.</w:t>
            </w:r>
          </w:p>
        </w:tc>
      </w:tr>
    </w:tbl>
    <w:p>
      <w:pPr>
        <w:spacing w:after="120" w:before="0"/>
      </w:pPr>
    </w:p>
    <w:p>
      <w:pPr>
        <w:pStyle w:val="Heading3"/>
        <w:keepNext/>
      </w:pPr>
      <w:r>
        <w:t xml:space="preserve">Manuscript at a glance</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500"/>
        <w:gridCol w:w="7000"/>
      </w:tblGrid>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Central subject and thesis</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How the Crusader States actually functioned. The book argues that, beyond the image of an endless clash of civilizations, the Latin East was a frontier “laboratory”: a Frankish minority governed mixed populations through truces, legal pluralism and local intermediaries, and the encounter transferred knowledge and institutions to Europe.</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Period and geography</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1099–1291, with Cyprus and the Hospitallers’ later history (Rhodes, Malta) as epilogue. Covers the Kingdom of Jerusalem, Tripoli, Antioch and Edessa, with Acre, Tyre and Jerusalem in close-up.</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Themes and weight (approx. share of text)</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Frontier society and diplomacy (Ch. 1–2, ~21%). Shared governance and law (Ch. 3, ~10%). Trade and crafts (Ch. 4, ~12%). Transfer of knowledge (Ch. 5, ~11%). Military Orders as administrators (Ch. 6, ~11%). The Hospitallers and healthcare (Ch. 7, ~12%). Daily life and hybrid culture (Ch. 8, ~11%).</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Approach</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Popular social and institutional history. It synthesises archaeology and scholarship (Ellenblum, Boas, Jotischky, Forey, Riley-Smith) with eyewitness voices: Fulcher of Chartres, Ibn Jubayr, Usama ibn Munqidh, John of Würzburg.</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Reader level</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General readers and students. No specialist knowledge needed, and terms such as ra’is, dragoman and Cour de la Fonde are explained.</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What sets it apart</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It focuses on how people lived together rather than on military events: mixed courts, village headmen, condominia, the Hospital of St. John and the Order of St. Lazarus. It is also explicit about where exchange stopped, which keeps it from romanticising the period.</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Most suitable audience</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Readers interested in Christian–Muslim relations, everyday life and medieval institutions, and in the history of medicine and the Military Orders. Also students of the Latin East.</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Role in the trilogy</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closing volume: the societies and institutions that came out of the movement described in Books One and Two.</w:t>
            </w:r>
          </w:p>
        </w:tc>
      </w:tr>
    </w:tbl>
    <w:p>
      <w:pPr>
        <w:pStyle w:val="Heading2"/>
        <w:keepNext/>
        <w:pageBreakBefore/>
      </w:pPr>
      <w:r>
        <w:t xml:space="preserve">2. Title &amp; Subtitle</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500"/>
        <w:gridCol w:w="7000"/>
      </w:tblGrid>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Title page of the manuscript</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Crusades. Collision, Integration and Institutions</w:t>
            </w:r>
          </w:p>
        </w:tc>
      </w:tr>
      <w:tr>
        <w:trPr>
          <w:cantSplit/>
        </w:trPr>
        <w:tc>
          <w:tcPr>
            <w:tcW w:type="dxa" w:w="2500"/>
            <w:shd w:fill="E9EDF3" w:color="auto" w:val="clear"/>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Working title (client files)</w:t>
            </w:r>
          </w:p>
        </w:tc>
        <w:tc>
          <w:tcPr>
            <w:tcW w:type="dxa" w:w="70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Crusades: Collision, Integration and Institutions</w:t>
            </w:r>
          </w:p>
        </w:tc>
      </w:tr>
    </w:tbl>
    <w:p>
      <w:pPr>
        <w:spacing w:after="100" w:before="0"/>
      </w:pPr>
    </w:p>
    <w:p>
      <w:pPr>
        <w:pStyle w:val="Heading3"/>
        <w:keepNext/>
      </w:pPr>
      <w:r>
        <w:t xml:space="preserve">Assessment</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000"/>
        <w:gridCol w:w="7500"/>
      </w:tblGrid>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Clarity</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triad is clear as a set of themes. Without a place, the reader does not know the book is about the societies of the Levant.</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Natural English</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Good. US style adds a serial comma (“Integration, and Institutions”).</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Historical precision</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Accurate. The book weighs conflict against diplomacy, shared administration, trade, knowledge transfer, the Military Orders, the Hospital and daily life. “Integration” is a modern term, but the book uses it with caution and notes the limits of exchange.</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Reader appeal</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The coexistence angle appeals to readers interested in Christian–Muslim relations and everyday life. A place anchor makes that angle easier to find.</w:t>
            </w:r>
          </w:p>
        </w:tc>
      </w:tr>
      <w:tr>
        <w:trPr>
          <w:cantSplit/>
        </w:trPr>
        <w:tc>
          <w:tcPr>
            <w:tcW w:type="dxa" w:w="2000"/>
            <w:tcMar>
              <w:top w:type="dxa" w:w="70"/>
              <w:left w:type="dxa" w:w="110"/>
              <w:bottom w:type="dxa" w:w="70"/>
              <w:right w:type="dxa" w:w="110"/>
            </w:tcMar>
            <w:vAlign w:val="top"/>
          </w:tcPr>
          <w:p>
            <w:pPr>
              <w:spacing w:after="40" w:line="264"/>
            </w:pPr>
            <w:r>
              <w:rPr>
                <w:rFonts w:ascii="Calibri" w:cs="Calibri" w:eastAsia="Calibri" w:hAnsi="Calibri"/>
                <w:b/>
                <w:bCs/>
                <w:color w:val="333A40"/>
                <w:sz w:val="18"/>
                <w:szCs w:val="18"/>
              </w:rPr>
              <w:t xml:space="preserve">Series coherence</w:t>
            </w:r>
          </w:p>
        </w:tc>
        <w:tc>
          <w:tcPr>
            <w:tcW w:type="dxa" w:w="75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8"/>
                <w:szCs w:val="18"/>
              </w:rPr>
              <w:t xml:space="preserve">This title already follows the shared pattern. The other two volumes should be aligned to it.</w:t>
            </w:r>
          </w:p>
        </w:tc>
      </w:tr>
    </w:tbl>
    <w:p>
      <w:pPr>
        <w:spacing w:after="140" w:before="0"/>
      </w:pP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trPr>
        <w:tc>
          <w:tcPr>
            <w:tcW w:type="dxa" w:w="9500"/>
            <w:tcBorders>
              <w:top w:val="none" w:color="FFFFFF" w:sz="0"/>
              <w:left w:val="single" w:color="B08D57" w:sz="18"/>
              <w:bottom w:val="none" w:color="FFFFFF" w:sz="0"/>
              <w:right w:val="none" w:color="FFFFFF" w:sz="0"/>
            </w:tcBorders>
            <w:shd w:fill="F4F2EE"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RECOMMENDED — READY TO USE (SUBJECT TO APPROVAL)</w:t>
            </w:r>
          </w:p>
          <w:p>
            <w:pPr>
              <w:spacing w:after="60"/>
            </w:pPr>
            <w:r>
              <w:rPr>
                <w:rFonts w:ascii="Calibri" w:cs="Calibri" w:eastAsia="Calibri" w:hAnsi="Calibri"/>
                <w:b/>
                <w:bCs/>
                <w:color w:val="1B2A4A"/>
                <w:sz w:val="20"/>
                <w:szCs w:val="20"/>
              </w:rPr>
              <w:t xml:space="preserve">Title:  </w:t>
            </w:r>
            <w:r>
              <w:rPr>
                <w:rFonts w:ascii="Calibri" w:cs="Calibri" w:eastAsia="Calibri" w:hAnsi="Calibri"/>
                <w:color w:val="333A40"/>
                <w:sz w:val="22"/>
                <w:szCs w:val="22"/>
              </w:rPr>
              <w:t xml:space="preserve">The Crusades</w:t>
            </w:r>
          </w:p>
          <w:p>
            <w:pPr>
              <w:spacing w:after="60"/>
            </w:pPr>
            <w:r>
              <w:rPr>
                <w:rFonts w:ascii="Calibri" w:cs="Calibri" w:eastAsia="Calibri" w:hAnsi="Calibri"/>
                <w:b/>
                <w:bCs/>
                <w:color w:val="1B2A4A"/>
                <w:sz w:val="20"/>
                <w:szCs w:val="20"/>
              </w:rPr>
              <w:t xml:space="preserve">Subtitle:  </w:t>
            </w:r>
            <w:r>
              <w:rPr>
                <w:rFonts w:ascii="Calibri" w:cs="Calibri" w:eastAsia="Calibri" w:hAnsi="Calibri"/>
                <w:color w:val="333A40"/>
                <w:sz w:val="22"/>
                <w:szCs w:val="22"/>
              </w:rPr>
              <w:t xml:space="preserve">Collision, Integration, and Institutions in the Crusader States</w:t>
            </w:r>
          </w:p>
          <w:p>
            <w:pPr>
              <w:spacing w:after="60"/>
            </w:pPr>
            <w:r>
              <w:rPr>
                <w:rFonts w:ascii="Calibri" w:cs="Calibri" w:eastAsia="Calibri" w:hAnsi="Calibri"/>
                <w:b/>
                <w:bCs/>
                <w:color w:val="1B2A4A"/>
                <w:sz w:val="20"/>
                <w:szCs w:val="20"/>
              </w:rPr>
              <w:t xml:space="preserve">Series name:  </w:t>
            </w:r>
            <w:r>
              <w:rPr>
                <w:rFonts w:ascii="Calibri" w:cs="Calibri" w:eastAsia="Calibri" w:hAnsi="Calibri"/>
                <w:color w:val="333A40"/>
                <w:sz w:val="20"/>
                <w:szCs w:val="20"/>
              </w:rPr>
              <w:t xml:space="preserve">The Crusades Beyond the Battlefield</w:t>
            </w:r>
            <w:r>
              <w:rPr>
                <w:rFonts w:ascii="Calibri" w:cs="Calibri" w:eastAsia="Calibri" w:hAnsi="Calibri"/>
                <w:b/>
                <w:bCs/>
                <w:color w:val="1B2A4A"/>
                <w:sz w:val="20"/>
                <w:szCs w:val="20"/>
              </w:rPr>
              <w:t xml:space="preserve">     Series number:  </w:t>
            </w:r>
            <w:r>
              <w:rPr>
                <w:rFonts w:ascii="Calibri" w:cs="Calibri" w:eastAsia="Calibri" w:hAnsi="Calibri"/>
                <w:color w:val="333A40"/>
                <w:sz w:val="20"/>
                <w:szCs w:val="20"/>
              </w:rPr>
              <w:t xml:space="preserve">3</w:t>
            </w:r>
          </w:p>
          <w:p>
            <w:pPr>
              <w:spacing w:after="0"/>
            </w:pPr>
            <w:r>
              <w:rPr>
                <w:rFonts w:ascii="Calibri" w:cs="Calibri" w:eastAsia="Calibri" w:hAnsi="Calibri"/>
                <w:color w:val="6B7280"/>
                <w:sz w:val="17"/>
                <w:szCs w:val="17"/>
              </w:rPr>
              <w:t xml:space="preserve">Amazon will display: The Crusades: Collision, Integration, and Institutions in the Crusader States. Title + subtitle = 75 characters (KDP limit: under 200).</w:t>
            </w:r>
          </w:p>
        </w:tc>
      </w:tr>
    </w:tbl>
    <w:p>
      <w:pPr>
        <w:spacing w:after="100" w:before="0"/>
      </w:pPr>
    </w:p>
    <w:p>
      <w:pPr>
        <w:pStyle w:val="Heading3"/>
        <w:keepNext/>
      </w:pPr>
      <w:r>
        <w:t xml:space="preserve">Why we recommend it</w:t>
      </w:r>
    </w:p>
    <w:p>
      <w:pPr>
        <w:pStyle w:val="ListParagraph"/>
        <w:keepLines/>
        <w:numPr>
          <w:ilvl w:val="0"/>
          <w:numId w:val="2"/>
        </w:numPr>
        <w:spacing w:after="60" w:line="276"/>
      </w:pPr>
      <w:r>
        <w:rPr>
          <w:rFonts w:ascii="Calibri" w:cs="Calibri" w:eastAsia="Calibri" w:hAnsi="Calibri"/>
          <w:color w:val="333A40"/>
          <w:sz w:val="21"/>
          <w:szCs w:val="21"/>
        </w:rPr>
        <w:t xml:space="preserve">The author’s triad is kept intact. It already works and gives the series a recognizable rhythm.</w:t>
      </w:r>
    </w:p>
    <w:p>
      <w:pPr>
        <w:pStyle w:val="ListParagraph"/>
        <w:keepLines/>
        <w:numPr>
          <w:ilvl w:val="0"/>
          <w:numId w:val="2"/>
        </w:numPr>
        <w:spacing w:after="60" w:line="276"/>
      </w:pPr>
      <w:r>
        <w:rPr>
          <w:rFonts w:ascii="Calibri" w:cs="Calibri" w:eastAsia="Calibri" w:hAnsi="Calibri"/>
          <w:color w:val="333A40"/>
          <w:sz w:val="21"/>
          <w:szCs w:val="21"/>
        </w:rPr>
        <w:t xml:space="preserve">“in the Crusader States” names the setting in the term general readers know. That is better than “Latin East” or “Outremer”, which are used in the description and keywords instead.</w:t>
      </w:r>
    </w:p>
    <w:p>
      <w:pPr>
        <w:pStyle w:val="ListParagraph"/>
        <w:keepLines/>
        <w:numPr>
          <w:ilvl w:val="0"/>
          <w:numId w:val="2"/>
        </w:numPr>
        <w:spacing w:after="60" w:line="276"/>
      </w:pPr>
      <w:r>
        <w:rPr>
          <w:rFonts w:ascii="Calibri" w:cs="Calibri" w:eastAsia="Calibri" w:hAnsi="Calibri"/>
          <w:color w:val="333A40"/>
          <w:sz w:val="21"/>
          <w:szCs w:val="21"/>
        </w:rPr>
        <w:t xml:space="preserve">“Collision” followed by “Integration” sums up the book’s movement from conquest to coexistence, so it is historically fair.</w:t>
      </w:r>
    </w:p>
    <w:p>
      <w:pPr>
        <w:pStyle w:val="ListParagraph"/>
        <w:keepLines/>
        <w:numPr>
          <w:ilvl w:val="0"/>
          <w:numId w:val="2"/>
        </w:numPr>
        <w:spacing w:after="60" w:line="276"/>
      </w:pPr>
      <w:r>
        <w:rPr>
          <w:rFonts w:ascii="Calibri" w:cs="Calibri" w:eastAsia="Calibri" w:hAnsi="Calibri"/>
          <w:color w:val="333A40"/>
          <w:sz w:val="21"/>
          <w:szCs w:val="21"/>
        </w:rPr>
        <w:t xml:space="preserve">It completes the parallel pattern across the trilogy.</w:t>
      </w:r>
    </w:p>
    <w:p>
      <w:pPr>
        <w:pStyle w:val="Heading3"/>
        <w:keepNext/>
      </w:pPr>
      <w:r>
        <w:t xml:space="preserve">Alternatives (maximum two)</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1600"/>
        <w:gridCol w:w="3700"/>
        <w:gridCol w:w="4200"/>
      </w:tblGrid>
      <w:tr>
        <w:trPr>
          <w:cantSplit/>
          <w:tblHeader/>
        </w:trPr>
        <w:tc>
          <w:tcPr>
            <w:tcW w:type="dxa" w:w="16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Title</w:t>
            </w:r>
          </w:p>
        </w:tc>
        <w:tc>
          <w:tcPr>
            <w:tcW w:type="dxa" w:w="3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Subtitle</w:t>
            </w:r>
          </w:p>
        </w:tc>
        <w:tc>
          <w:tcPr>
            <w:tcW w:type="dxa" w:w="42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Note</w:t>
            </w:r>
          </w:p>
        </w:tc>
      </w:tr>
      <w:tr>
        <w:trPr>
          <w:cantSplit/>
        </w:trPr>
        <w:tc>
          <w:tcPr>
            <w:tcW w:type="dxa" w:w="16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The Crusades</w:t>
            </w:r>
          </w:p>
        </w:tc>
        <w:tc>
          <w:tcPr>
            <w:tcW w:type="dxa" w:w="37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Collision, Integration, and Institutions</w:t>
            </w:r>
          </w:p>
        </w:tc>
        <w:tc>
          <w:tcPr>
            <w:tcW w:type="dxa" w:w="42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Minimal change. Faithful to the manuscript, but readers are not told where the book takes place.</w:t>
            </w:r>
          </w:p>
        </w:tc>
      </w:tr>
      <w:tr>
        <w:trPr>
          <w:cantSplit/>
        </w:trPr>
        <w:tc>
          <w:tcPr>
            <w:tcW w:type="dxa" w:w="16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The Crusades</w:t>
            </w:r>
          </w:p>
        </w:tc>
        <w:tc>
          <w:tcPr>
            <w:tcW w:type="dxa" w:w="37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Conflict, Coexistence, and Institutions in the Crusader States</w:t>
            </w:r>
          </w:p>
        </w:tc>
        <w:tc>
          <w:tcPr>
            <w:tcW w:type="dxa" w:w="4200"/>
            <w:tcMar>
              <w:top w:type="dxa" w:w="70"/>
              <w:left w:type="dxa" w:w="110"/>
              <w:bottom w:type="dxa" w:w="70"/>
              <w:right w:type="dxa" w:w="110"/>
            </w:tcMar>
            <w:vAlign w:val="top"/>
          </w:tcPr>
          <w:p>
            <w:pPr>
              <w:spacing w:after="40" w:line="264"/>
            </w:pPr>
            <w:r>
              <w:rPr>
                <w:rFonts w:ascii="Calibri" w:cs="Calibri" w:eastAsia="Calibri" w:hAnsi="Calibri"/>
                <w:color w:val="333A40"/>
                <w:sz w:val="18"/>
                <w:szCs w:val="18"/>
              </w:rPr>
              <w:t xml:space="preserve">Closer to the book’s argument about coexistence, but it changes two of the author’s three words. Consider it only if the author wants that shift.</w:t>
            </w:r>
          </w:p>
        </w:tc>
      </w:tr>
    </w:tbl>
    <w:p>
      <w:pPr>
        <w:pStyle w:val="Heading2"/>
        <w:keepNext/>
        <w:pageBreakBefore/>
      </w:pPr>
      <w:r>
        <w:t xml:space="preserve">3. Amazon Description</w:t>
      </w:r>
    </w:p>
    <w:p>
      <w:pPr>
        <w:spacing w:after="120" w:before="0" w:line="288"/>
      </w:pPr>
      <w:r>
        <w:rPr>
          <w:rFonts w:ascii="Calibri" w:cs="Calibri" w:eastAsia="Calibri" w:hAnsi="Calibri"/>
          <w:color w:val="6B7280"/>
          <w:sz w:val="18"/>
          <w:szCs w:val="18"/>
        </w:rPr>
        <w:t xml:space="preserve">Plain-text version: 274 words, 1,787 characters including spaces (KDP limit: 4,000).</w:t>
      </w: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val="false"/>
        </w:trPr>
        <w:tc>
          <w:tcPr>
            <w:tcW w:type="dxa" w:w="9500"/>
            <w:tcBorders>
              <w:top w:val="none" w:color="FFFFFF" w:sz="0"/>
              <w:left w:val="single" w:color="B08D57" w:sz="18"/>
              <w:bottom w:val="none" w:color="FFFFFF" w:sz="0"/>
              <w:right w:val="none" w:color="FFFFFF" w:sz="0"/>
            </w:tcBorders>
            <w:shd w:fill="FBFAF7"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DESCRIPTION — PLAIN TEXT, READY TO COPY</w:t>
            </w:r>
          </w:p>
          <w:p>
            <w:pPr>
              <w:spacing w:after="110" w:line="276"/>
            </w:pPr>
            <w:r>
              <w:rPr>
                <w:rFonts w:ascii="Calibri" w:cs="Calibri" w:eastAsia="Calibri" w:hAnsi="Calibri"/>
                <w:b/>
                <w:bCs/>
                <w:color w:val="333A40"/>
                <w:sz w:val="20"/>
                <w:szCs w:val="20"/>
              </w:rPr>
              <w:t xml:space="preserve">In twelfth-century Jerusalem, a Muslim emir prayed in a small oratory of the al-Aqsa Mosque, then the headquarters of the Knights Templar. When a newly arrived Frankish pilgrim tried to stop him, it was the Templars, whom he called his friends, who intervened.</w:t>
            </w:r>
          </w:p>
          <w:p>
            <w:pPr>
              <w:spacing w:after="110" w:line="276"/>
            </w:pPr>
            <w:r>
              <w:rPr>
                <w:rFonts w:ascii="Calibri" w:cs="Calibri" w:eastAsia="Calibri" w:hAnsi="Calibri"/>
                <w:color w:val="333A40"/>
                <w:sz w:val="20"/>
                <w:szCs w:val="20"/>
              </w:rPr>
              <w:t xml:space="preserve">That scene, recorded by Usama ibn Munqidh, opens the third volume of The Crusades Beyond the Battlefield. Setting aside the familiar image of an endless clash of civilizations, it asks how the Crusader States actually worked: how a Frankish minority governed Muslim, Eastern Christian, and Jewish majorities, and what two centuries of daily contact produced.</w:t>
            </w:r>
          </w:p>
          <w:p>
            <w:pPr>
              <w:spacing w:after="110" w:line="276"/>
            </w:pPr>
            <w:r>
              <w:rPr>
                <w:rFonts w:ascii="Calibri" w:cs="Calibri" w:eastAsia="Calibri" w:hAnsi="Calibri"/>
                <w:color w:val="333A40"/>
                <w:sz w:val="20"/>
                <w:szCs w:val="20"/>
              </w:rPr>
              <w:t xml:space="preserve">The book examines:</w:t>
            </w:r>
          </w:p>
          <w:p>
            <w:pPr>
              <w:spacing w:after="50" w:line="276"/>
              <w:ind w:left="300" w:hanging="220"/>
            </w:pPr>
            <w:r>
              <w:rPr>
                <w:rFonts w:ascii="Calibri" w:cs="Calibri" w:eastAsia="Calibri" w:hAnsi="Calibri"/>
                <w:color w:val="333A40"/>
                <w:sz w:val="20"/>
                <w:szCs w:val="20"/>
              </w:rPr>
              <w:t xml:space="preserve">•  Long truces, shared border districts, and diplomacy, including Frederick II’s 1229 treaty with Sultan al-Kamil</w:t>
            </w:r>
          </w:p>
          <w:p>
            <w:pPr>
              <w:spacing w:after="50" w:line="276"/>
              <w:ind w:left="300" w:hanging="220"/>
            </w:pPr>
            <w:r>
              <w:rPr>
                <w:rFonts w:ascii="Calibri" w:cs="Calibri" w:eastAsia="Calibri" w:hAnsi="Calibri"/>
                <w:color w:val="333A40"/>
                <w:sz w:val="20"/>
                <w:szCs w:val="20"/>
              </w:rPr>
              <w:t xml:space="preserve">•  Legal pluralism: the Cour des Syriens, the Cour de la Fonde, village headmen, and dragomans</w:t>
            </w:r>
          </w:p>
          <w:p>
            <w:pPr>
              <w:spacing w:after="50" w:line="276"/>
              <w:ind w:left="300" w:hanging="220"/>
            </w:pPr>
            <w:r>
              <w:rPr>
                <w:rFonts w:ascii="Calibri" w:cs="Calibri" w:eastAsia="Calibri" w:hAnsi="Calibri"/>
                <w:color w:val="333A40"/>
                <w:sz w:val="20"/>
                <w:szCs w:val="20"/>
              </w:rPr>
              <w:t xml:space="preserve">•  Merchant quarters, local industries, and the financial practices that traveled west</w:t>
            </w:r>
          </w:p>
          <w:p>
            <w:pPr>
              <w:spacing w:after="50" w:line="276"/>
              <w:ind w:left="300" w:hanging="220"/>
            </w:pPr>
            <w:r>
              <w:rPr>
                <w:rFonts w:ascii="Calibri" w:cs="Calibri" w:eastAsia="Calibri" w:hAnsi="Calibri"/>
                <w:color w:val="333A40"/>
                <w:sz w:val="20"/>
                <w:szCs w:val="20"/>
              </w:rPr>
              <w:t xml:space="preserve">•  Irrigation, sugar refining, medicine, and architecture, and the routes by which Arabic learning reached Europe</w:t>
            </w:r>
          </w:p>
          <w:p>
            <w:pPr>
              <w:spacing w:after="50" w:line="276"/>
              <w:ind w:left="300" w:hanging="220"/>
            </w:pPr>
            <w:r>
              <w:rPr>
                <w:rFonts w:ascii="Calibri" w:cs="Calibri" w:eastAsia="Calibri" w:hAnsi="Calibri"/>
                <w:color w:val="333A40"/>
                <w:sz w:val="20"/>
                <w:szCs w:val="20"/>
              </w:rPr>
              <w:t xml:space="preserve">•  The Military Orders as landlords, diplomats, and territorial administrators</w:t>
            </w:r>
          </w:p>
          <w:p>
            <w:pPr>
              <w:spacing w:after="50" w:line="276"/>
              <w:ind w:left="300" w:hanging="220"/>
            </w:pPr>
            <w:r>
              <w:rPr>
                <w:rFonts w:ascii="Calibri" w:cs="Calibri" w:eastAsia="Calibri" w:hAnsi="Calibri"/>
                <w:color w:val="333A40"/>
                <w:sz w:val="20"/>
                <w:szCs w:val="20"/>
              </w:rPr>
              <w:t xml:space="preserve">•  The Hospital of St. John in Jerusalem, with its wards, salaried physicians, and free care for patients of every faith</w:t>
            </w:r>
          </w:p>
          <w:p>
            <w:pPr>
              <w:spacing w:after="110" w:line="276"/>
              <w:ind w:left="300" w:hanging="220"/>
            </w:pPr>
            <w:r>
              <w:rPr>
                <w:rFonts w:ascii="Calibri" w:cs="Calibri" w:eastAsia="Calibri" w:hAnsi="Calibri"/>
                <w:color w:val="333A40"/>
                <w:sz w:val="20"/>
                <w:szCs w:val="20"/>
              </w:rPr>
              <w:t xml:space="preserve">•  Dress, diet, language, art, and mixed marriages among the Franks born in the East</w:t>
            </w:r>
          </w:p>
          <w:p>
            <w:pPr>
              <w:spacing w:after="110" w:line="276"/>
            </w:pPr>
            <w:r>
              <w:rPr>
                <w:rFonts w:ascii="Calibri" w:cs="Calibri" w:eastAsia="Calibri" w:hAnsi="Calibri"/>
                <w:color w:val="333A40"/>
                <w:sz w:val="20"/>
                <w:szCs w:val="20"/>
              </w:rPr>
              <w:t xml:space="preserve">The book does not soften the violence of the conquest, and it is candid about the limits of exchange: everyday bilingualism in the Latin East did not produce a translation movement, which flourished instead in Spain and Sicily.</w:t>
            </w:r>
          </w:p>
          <w:p>
            <w:pPr>
              <w:spacing w:after="110" w:line="276"/>
            </w:pPr>
            <w:r>
              <w:rPr>
                <w:rFonts w:ascii="Calibri" w:cs="Calibri" w:eastAsia="Calibri" w:hAnsi="Calibri"/>
                <w:color w:val="333A40"/>
                <w:sz w:val="20"/>
                <w:szCs w:val="20"/>
              </w:rPr>
              <w:t xml:space="preserve">Accessible to general readers and useful to students, this closing volume completes a trilogy that moves from the European origins of the Crusades, through the economy they set in motion, to the societies they created overseas.</w:t>
            </w:r>
          </w:p>
        </w:tc>
      </w:tr>
    </w:tbl>
    <w:p>
      <w:pPr>
        <w:pStyle w:val="Heading2"/>
        <w:keepNext/>
        <w:pageBreakBefore/>
      </w:pPr>
      <w:r>
        <w:t xml:space="preserve">4. HTML Description</w:t>
      </w:r>
    </w:p>
    <w:p>
      <w:pPr>
        <w:spacing w:after="120" w:before="0" w:line="288"/>
      </w:pPr>
      <w:r>
        <w:rPr>
          <w:rFonts w:ascii="Calibri" w:cs="Calibri" w:eastAsia="Calibri" w:hAnsi="Calibri"/>
          <w:color w:val="6B7280"/>
          <w:sz w:val="18"/>
          <w:szCs w:val="18"/>
        </w:rPr>
        <w:t xml:space="preserve">Same wording as above, using only &lt;p&gt;, &lt;b&gt;, &lt;ul&gt; and &lt;li&gt;. Length including tags: 1,884 characters (limit 4,000). Paste into the description field’s Source view.</w:t>
      </w:r>
    </w:p>
    <w:tbl>
      <w:tblPr>
        <w:tblW w:type="dxa" w:w="9500"/>
        <w:tblBorders>
          <w:top w:val="none" w:color="FFFFFF" w:sz="0"/>
          <w:left w:val="single" w:color="B08D57" w:sz="18"/>
          <w:bottom w:val="none" w:color="FFFFFF" w:sz="0"/>
          <w:right w:val="none" w:color="FFFFFF" w:sz="0"/>
          <w:insideH w:val="none" w:color="FFFFFF" w:sz="0"/>
          <w:insideV w:val="none" w:color="FFFFFF" w:sz="0"/>
        </w:tblBorders>
        <w:tblLayout w:type="fixed"/>
      </w:tblPr>
      <w:tblGrid>
        <w:gridCol w:w="9500"/>
      </w:tblGrid>
      <w:tr>
        <w:trPr>
          <w:cantSplit w:val="false"/>
        </w:trPr>
        <w:tc>
          <w:tcPr>
            <w:tcW w:type="dxa" w:w="9500"/>
            <w:tcBorders>
              <w:top w:val="none" w:color="FFFFFF" w:sz="0"/>
              <w:left w:val="single" w:color="B08D57" w:sz="18"/>
              <w:bottom w:val="none" w:color="FFFFFF" w:sz="0"/>
              <w:right w:val="none" w:color="FFFFFF" w:sz="0"/>
            </w:tcBorders>
            <w:shd w:fill="F5F6F8" w:color="auto" w:val="clear"/>
            <w:tcMar>
              <w:top w:type="dxa" w:w="140"/>
              <w:left w:type="dxa" w:w="220"/>
              <w:bottom w:type="dxa" w:w="120"/>
              <w:right w:type="dxa" w:w="200"/>
            </w:tcMar>
          </w:tcPr>
          <w:p>
            <w:pPr>
              <w:keepNext/>
              <w:spacing w:after="80"/>
            </w:pPr>
            <w:r>
              <w:rPr>
                <w:rFonts w:ascii="Calibri" w:cs="Calibri" w:eastAsia="Calibri" w:hAnsi="Calibri"/>
                <w:b/>
                <w:bCs/>
                <w:color w:val="B08D57"/>
                <w:spacing w:val="30"/>
                <w:sz w:val="15"/>
                <w:szCs w:val="15"/>
              </w:rPr>
              <w:t xml:space="preserve">DESCRIPTION — HTML, READY TO COPY</w:t>
            </w:r>
          </w:p>
          <w:p>
            <w:pPr>
              <w:spacing w:after="30" w:line="250"/>
            </w:pPr>
            <w:r>
              <w:rPr>
                <w:rFonts w:ascii="Consolas" w:cs="Consolas" w:eastAsia="Consolas" w:hAnsi="Consolas"/>
                <w:color w:val="2B3440"/>
                <w:sz w:val="16"/>
                <w:szCs w:val="16"/>
              </w:rPr>
              <w:t xml:space="preserve">&lt;p&gt;&lt;b&gt;In twelfth-century Jerusalem, a Muslim emir prayed in a small oratory of the al-Aqsa Mosque, then the headquarters of the Knights Templar. When a newly arrived Frankish pilgrim tried to stop him, it was the Templars, whom he called his friends, who intervened.&lt;/b&gt;&lt;/p&gt;</w:t>
            </w:r>
          </w:p>
          <w:p>
            <w:pPr>
              <w:spacing w:after="30" w:line="250"/>
            </w:pPr>
            <w:r>
              <w:rPr>
                <w:rFonts w:ascii="Consolas" w:cs="Consolas" w:eastAsia="Consolas" w:hAnsi="Consolas"/>
                <w:color w:val="2B3440"/>
                <w:sz w:val="16"/>
                <w:szCs w:val="16"/>
              </w:rPr>
              <w:t xml:space="preserve">&lt;p&gt;That scene, recorded by Usama ibn Munqidh, opens the third volume of The Crusades Beyond the Battlefield. Setting aside the familiar image of an endless clash of civilizations, it asks how the Crusader States actually worked: how a Frankish minority governed Muslim, Eastern Christian, and Jewish majorities, and what two centuries of daily contact produced.&lt;/p&gt;</w:t>
            </w:r>
          </w:p>
          <w:p>
            <w:pPr>
              <w:spacing w:after="30" w:line="250"/>
            </w:pPr>
            <w:r>
              <w:rPr>
                <w:rFonts w:ascii="Consolas" w:cs="Consolas" w:eastAsia="Consolas" w:hAnsi="Consolas"/>
                <w:color w:val="2B3440"/>
                <w:sz w:val="16"/>
                <w:szCs w:val="16"/>
              </w:rPr>
              <w:t xml:space="preserve">&lt;p&gt;The book examines:&lt;/p&gt;</w:t>
            </w:r>
          </w:p>
          <w:p>
            <w:pPr>
              <w:spacing w:after="30" w:line="250"/>
            </w:pPr>
            <w:r>
              <w:rPr>
                <w:rFonts w:ascii="Consolas" w:cs="Consolas" w:eastAsia="Consolas" w:hAnsi="Consolas"/>
                <w:color w:val="2B3440"/>
                <w:sz w:val="16"/>
                <w:szCs w:val="16"/>
              </w:rPr>
              <w:t xml:space="preserve">&lt;ul&gt;</w:t>
            </w:r>
          </w:p>
          <w:p>
            <w:pPr>
              <w:spacing w:after="30" w:line="250"/>
            </w:pPr>
            <w:r>
              <w:rPr>
                <w:rFonts w:ascii="Consolas" w:cs="Consolas" w:eastAsia="Consolas" w:hAnsi="Consolas"/>
                <w:color w:val="2B3440"/>
                <w:sz w:val="16"/>
                <w:szCs w:val="16"/>
              </w:rPr>
              <w:t xml:space="preserve">&lt;li&gt;Long truces, shared border districts, and diplomacy, including Frederick II’s 1229 treaty with Sultan al-Kamil&lt;/li&gt;</w:t>
            </w:r>
          </w:p>
          <w:p>
            <w:pPr>
              <w:spacing w:after="30" w:line="250"/>
            </w:pPr>
            <w:r>
              <w:rPr>
                <w:rFonts w:ascii="Consolas" w:cs="Consolas" w:eastAsia="Consolas" w:hAnsi="Consolas"/>
                <w:color w:val="2B3440"/>
                <w:sz w:val="16"/>
                <w:szCs w:val="16"/>
              </w:rPr>
              <w:t xml:space="preserve">&lt;li&gt;Legal pluralism: the Cour des Syriens, the Cour de la Fonde, village headmen, and dragomans&lt;/li&gt;</w:t>
            </w:r>
          </w:p>
          <w:p>
            <w:pPr>
              <w:spacing w:after="30" w:line="250"/>
            </w:pPr>
            <w:r>
              <w:rPr>
                <w:rFonts w:ascii="Consolas" w:cs="Consolas" w:eastAsia="Consolas" w:hAnsi="Consolas"/>
                <w:color w:val="2B3440"/>
                <w:sz w:val="16"/>
                <w:szCs w:val="16"/>
              </w:rPr>
              <w:t xml:space="preserve">&lt;li&gt;Merchant quarters, local industries, and the financial practices that traveled west&lt;/li&gt;</w:t>
            </w:r>
          </w:p>
          <w:p>
            <w:pPr>
              <w:spacing w:after="30" w:line="250"/>
            </w:pPr>
            <w:r>
              <w:rPr>
                <w:rFonts w:ascii="Consolas" w:cs="Consolas" w:eastAsia="Consolas" w:hAnsi="Consolas"/>
                <w:color w:val="2B3440"/>
                <w:sz w:val="16"/>
                <w:szCs w:val="16"/>
              </w:rPr>
              <w:t xml:space="preserve">&lt;li&gt;Irrigation, sugar refining, medicine, and architecture, and the routes by which Arabic learning reached Europe&lt;/li&gt;</w:t>
            </w:r>
          </w:p>
          <w:p>
            <w:pPr>
              <w:spacing w:after="30" w:line="250"/>
            </w:pPr>
            <w:r>
              <w:rPr>
                <w:rFonts w:ascii="Consolas" w:cs="Consolas" w:eastAsia="Consolas" w:hAnsi="Consolas"/>
                <w:color w:val="2B3440"/>
                <w:sz w:val="16"/>
                <w:szCs w:val="16"/>
              </w:rPr>
              <w:t xml:space="preserve">&lt;li&gt;The Military Orders as landlords, diplomats, and territorial administrators&lt;/li&gt;</w:t>
            </w:r>
          </w:p>
          <w:p>
            <w:pPr>
              <w:spacing w:after="30" w:line="250"/>
            </w:pPr>
            <w:r>
              <w:rPr>
                <w:rFonts w:ascii="Consolas" w:cs="Consolas" w:eastAsia="Consolas" w:hAnsi="Consolas"/>
                <w:color w:val="2B3440"/>
                <w:sz w:val="16"/>
                <w:szCs w:val="16"/>
              </w:rPr>
              <w:t xml:space="preserve">&lt;li&gt;The Hospital of St. John in Jerusalem, with its wards, salaried physicians, and free care for patients of every faith&lt;/li&gt;</w:t>
            </w:r>
          </w:p>
          <w:p>
            <w:pPr>
              <w:spacing w:after="30" w:line="250"/>
            </w:pPr>
            <w:r>
              <w:rPr>
                <w:rFonts w:ascii="Consolas" w:cs="Consolas" w:eastAsia="Consolas" w:hAnsi="Consolas"/>
                <w:color w:val="2B3440"/>
                <w:sz w:val="16"/>
                <w:szCs w:val="16"/>
              </w:rPr>
              <w:t xml:space="preserve">&lt;li&gt;Dress, diet, language, art, and mixed marriages among the Franks born in the East&lt;/li&gt;</w:t>
            </w:r>
          </w:p>
          <w:p>
            <w:pPr>
              <w:spacing w:after="30" w:line="250"/>
            </w:pPr>
            <w:r>
              <w:rPr>
                <w:rFonts w:ascii="Consolas" w:cs="Consolas" w:eastAsia="Consolas" w:hAnsi="Consolas"/>
                <w:color w:val="2B3440"/>
                <w:sz w:val="16"/>
                <w:szCs w:val="16"/>
              </w:rPr>
              <w:t xml:space="preserve">&lt;/ul&gt;</w:t>
            </w:r>
          </w:p>
          <w:p>
            <w:pPr>
              <w:spacing w:after="30" w:line="250"/>
            </w:pPr>
            <w:r>
              <w:rPr>
                <w:rFonts w:ascii="Consolas" w:cs="Consolas" w:eastAsia="Consolas" w:hAnsi="Consolas"/>
                <w:color w:val="2B3440"/>
                <w:sz w:val="16"/>
                <w:szCs w:val="16"/>
              </w:rPr>
              <w:t xml:space="preserve">&lt;p&gt;The book does not soften the violence of the conquest, and it is candid about the limits of exchange: everyday bilingualism in the Latin East did not produce a translation movement, which flourished instead in Spain and Sicily.&lt;/p&gt;</w:t>
            </w:r>
          </w:p>
          <w:p>
            <w:pPr>
              <w:spacing w:after="30" w:line="250"/>
            </w:pPr>
            <w:r>
              <w:rPr>
                <w:rFonts w:ascii="Consolas" w:cs="Consolas" w:eastAsia="Consolas" w:hAnsi="Consolas"/>
                <w:color w:val="2B3440"/>
                <w:sz w:val="16"/>
                <w:szCs w:val="16"/>
              </w:rPr>
              <w:t xml:space="preserve">&lt;p&gt;Accessible to general readers and useful to students, this closing volume completes a trilogy that moves from the European origins of the Crusades, through the economy they set in motion, to the societies they created overseas.&lt;/p&gt;</w:t>
            </w:r>
          </w:p>
        </w:tc>
      </w:tr>
    </w:tbl>
    <w:p>
      <w:pPr>
        <w:pStyle w:val="Heading2"/>
        <w:keepNext/>
        <w:pageBreakBefore/>
      </w:pPr>
      <w:r>
        <w:t xml:space="preserve">5. Categories</w:t>
      </w:r>
    </w:p>
    <w:p>
      <w:pPr>
        <w:spacing w:after="120" w:before="0" w:line="288"/>
      </w:pPr>
      <w:r>
        <w:rPr>
          <w:rFonts w:ascii="Calibri" w:cs="Calibri" w:eastAsia="Calibri" w:hAnsi="Calibri"/>
          <w:b/>
          <w:bCs/>
          <w:color w:val="333A40"/>
          <w:sz w:val="18"/>
          <w:szCs w:val="18"/>
        </w:rPr>
        <w:t xml:space="preserve">Status key.</w:t>
      </w:r>
      <w:r>
        <w:rPr>
          <w:rFonts w:ascii="Calibri" w:cs="Calibri" w:eastAsia="Calibri" w:hAnsi="Calibri"/>
          <w:color w:val="333A40"/>
          <w:sz w:val="18"/>
          <w:szCs w:val="18"/>
        </w:rPr>
        <w:t xml:space="preserve"> “Store: verified” means the category exists as a browse category on Amazon.com and was confirmed through indexed Amazon Best Sellers pages. “Store: filter only” means it appears as a filter inside a broader category. The panel paths are our best expectation of where each category appears in the KDP selector. They must be confirmed in the KDP panel at upload, because the selector could not be accessed without the author’s account. Up to three categories can be chosen per format.</w:t>
      </w:r>
    </w:p>
    <w:p>
      <w:pPr>
        <w:pStyle w:val="Heading3"/>
        <w:keepNext/>
      </w:pPr>
      <w:r>
        <w:t xml:space="preserve">Kindle eBook</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100"/>
        <w:gridCol w:w="2700"/>
        <w:gridCol w:w="1400"/>
        <w:gridCol w:w="3300"/>
      </w:tblGrid>
      <w:tr>
        <w:trPr>
          <w:cantSplit/>
          <w:tblHeader/>
        </w:trPr>
        <w:tc>
          <w:tcPr>
            <w:tcW w:type="dxa" w:w="21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Category</w:t>
            </w:r>
          </w:p>
        </w:tc>
        <w:tc>
          <w:tcPr>
            <w:tcW w:type="dxa" w:w="2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Expected KDP panel path (to confirm)</w:t>
            </w:r>
          </w:p>
        </w:tc>
        <w:tc>
          <w:tcPr>
            <w:tcW w:type="dxa" w:w="14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Status</w:t>
            </w:r>
          </w:p>
        </w:tc>
        <w:tc>
          <w:tcPr>
            <w:tcW w:type="dxa" w:w="33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Why it fits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Social &amp; Cultural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Social &amp; Cultural (label to confirm)</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Covers daily life, hybrid culture, mixed marriages and healthcare (Ch. 7–8), the book’s distinctive core.</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Middle East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Middle East › General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 (print); Kindle to confirm</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The setting is the Levant, and the book covers Muslim, Eastern Christian and Frankish communities.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Medieval Military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Military › Medieval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Covers the Military Orders, castles as administrative centres and frontier diplomacy. It keeps the volume next to its series siblings.</w:t>
            </w:r>
          </w:p>
        </w:tc>
      </w:tr>
    </w:tbl>
    <w:p>
      <w:pPr>
        <w:spacing w:after="120" w:before="80" w:line="288"/>
      </w:pPr>
      <w:r>
        <w:rPr>
          <w:rFonts w:ascii="Calibri" w:cs="Calibri" w:eastAsia="Calibri" w:hAnsi="Calibri"/>
          <w:color w:val="6B7280"/>
          <w:sz w:val="18"/>
          <w:szCs w:val="18"/>
        </w:rPr>
        <w:t xml:space="preserve">Alternative: Islamic History (store: verified). It is relevant to the Christian–Muslim relations chapters, but readers there expect a history centred on Muslim sources. Use it only if the panel lacks Middle East History.</w:t>
      </w:r>
    </w:p>
    <w:p>
      <w:pPr>
        <w:pStyle w:val="Heading3"/>
        <w:keepNext/>
      </w:pPr>
      <w:r>
        <w:t xml:space="preserve">Paperback</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100"/>
        <w:gridCol w:w="2700"/>
        <w:gridCol w:w="1400"/>
        <w:gridCol w:w="3300"/>
      </w:tblGrid>
      <w:tr>
        <w:trPr>
          <w:cantSplit/>
          <w:tblHeader/>
        </w:trPr>
        <w:tc>
          <w:tcPr>
            <w:tcW w:type="dxa" w:w="21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Category</w:t>
            </w:r>
          </w:p>
        </w:tc>
        <w:tc>
          <w:tcPr>
            <w:tcW w:type="dxa" w:w="2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Expected KDP panel path (to confirm)</w:t>
            </w:r>
          </w:p>
        </w:tc>
        <w:tc>
          <w:tcPr>
            <w:tcW w:type="dxa" w:w="14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Status</w:t>
            </w:r>
          </w:p>
        </w:tc>
        <w:tc>
          <w:tcPr>
            <w:tcW w:type="dxa" w:w="33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Why it fits</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Middle East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Middle East › General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This is the most accurate geographic home for a book on the Latin East.</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Medieval History</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World › Medieval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verified</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Covers the period and the medieval institutions in the book.</w:t>
            </w:r>
          </w:p>
        </w:tc>
      </w:tr>
      <w:tr>
        <w:trPr>
          <w:cantSplit/>
        </w:trPr>
        <w:tc>
          <w:tcPr>
            <w:tcW w:type="dxa" w:w="2100"/>
            <w:tcMar>
              <w:top w:type="dxa" w:w="70"/>
              <w:left w:type="dxa" w:w="110"/>
              <w:bottom w:type="dxa" w:w="70"/>
              <w:right w:type="dxa" w:w="110"/>
            </w:tcMar>
            <w:vAlign w:val="top"/>
          </w:tcPr>
          <w:p>
            <w:pPr>
              <w:spacing w:after="40" w:line="264"/>
            </w:pPr>
            <w:r>
              <w:rPr>
                <w:rFonts w:ascii="Calibri" w:cs="Calibri" w:eastAsia="Calibri" w:hAnsi="Calibri"/>
                <w:b/>
                <w:bCs/>
                <w:color w:val="333A40"/>
                <w:sz w:val="17"/>
                <w:szCs w:val="17"/>
              </w:rPr>
              <w:t xml:space="preserve">Military History › Medieval</w:t>
            </w:r>
          </w:p>
        </w:tc>
        <w:tc>
          <w:tcPr>
            <w:tcW w:type="dxa" w:w="27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History › Military › Medieval</w:t>
            </w:r>
          </w:p>
        </w:tc>
        <w:tc>
          <w:tcPr>
            <w:tcW w:type="dxa" w:w="14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Store: filter only</w:t>
            </w:r>
          </w:p>
        </w:tc>
        <w:tc>
          <w:tcPr>
            <w:tcW w:type="dxa" w:w="3300"/>
            <w:tcMar>
              <w:top w:type="dxa" w:w="70"/>
              <w:left w:type="dxa" w:w="110"/>
              <w:bottom w:type="dxa" w:w="70"/>
              <w:right w:type="dxa" w:w="110"/>
            </w:tcMar>
            <w:vAlign w:val="top"/>
          </w:tcPr>
          <w:p>
            <w:pPr>
              <w:spacing w:after="40" w:line="264"/>
            </w:pPr>
            <w:r>
              <w:rPr>
                <w:rFonts w:ascii="Calibri" w:cs="Calibri" w:eastAsia="Calibri" w:hAnsi="Calibri"/>
                <w:b w:val="false"/>
                <w:bCs w:val="false"/>
                <w:color w:val="333A40"/>
                <w:sz w:val="17"/>
                <w:szCs w:val="17"/>
              </w:rPr>
              <w:t xml:space="preserve">Covers the Military Orders and fortresses. Confirm that the panel offers it.</w:t>
            </w:r>
          </w:p>
        </w:tc>
      </w:tr>
    </w:tbl>
    <w:p>
      <w:pPr>
        <w:spacing w:after="120" w:before="80" w:line="288"/>
      </w:pPr>
      <w:r>
        <w:rPr>
          <w:rFonts w:ascii="Calibri" w:cs="Calibri" w:eastAsia="Calibri" w:hAnsi="Calibri"/>
          <w:color w:val="6B7280"/>
          <w:sz w:val="18"/>
          <w:szCs w:val="18"/>
        </w:rPr>
        <w:t xml:space="preserve">Alternative: History of Islam (store: verified, print). The same caution applies as for the Kindle alternative.</w:t>
      </w:r>
    </w:p>
    <w:p>
      <w:pPr>
        <w:pStyle w:val="Heading2"/>
        <w:keepNext/>
        <w:pageBreakBefore/>
      </w:pPr>
      <w:r>
        <w:t xml:space="preserve">6. Seven Backend Keyword Fields</w:t>
      </w:r>
    </w:p>
    <w:p>
      <w:pPr>
        <w:spacing w:after="120" w:before="0" w:line="288"/>
      </w:pPr>
      <w:r>
        <w:rPr>
          <w:rFonts w:ascii="Calibri" w:cs="Calibri" w:eastAsia="Calibri" w:hAnsi="Calibri"/>
          <w:color w:val="333A40"/>
          <w:sz w:val="18"/>
          <w:szCs w:val="18"/>
        </w:rPr>
        <w:t xml:space="preserve">These are entered in the seven Keywords fields of the KDP details page. They are not Amazon Ads keywords. Each string is at most 50 characters (spaces included), written in lower case without commas, and avoids words already in the title or subtitle. Character counts were calculated by script from the exact strings.</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420"/>
        <w:gridCol w:w="3880"/>
        <w:gridCol w:w="620"/>
        <w:gridCol w:w="1580"/>
        <w:gridCol w:w="3000"/>
      </w:tblGrid>
      <w:tr>
        <w:trPr>
          <w:cantSplit/>
          <w:tblHeader/>
        </w:trPr>
        <w:tc>
          <w:tcPr>
            <w:tcW w:type="dxa" w:w="42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t>
            </w:r>
          </w:p>
        </w:tc>
        <w:tc>
          <w:tcPr>
            <w:tcW w:type="dxa" w:w="388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Keyword string (copy exactly)</w:t>
            </w:r>
          </w:p>
        </w:tc>
        <w:tc>
          <w:tcPr>
            <w:tcW w:type="dxa" w:w="62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Chars</w:t>
            </w:r>
          </w:p>
        </w:tc>
        <w:tc>
          <w:tcPr>
            <w:tcW w:type="dxa" w:w="158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Search intent</w:t>
            </w:r>
          </w:p>
        </w:tc>
        <w:tc>
          <w:tcPr>
            <w:tcW w:type="dxa" w:w="30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Rationale</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1</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coexistence christians muslims holy land</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40</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Theme</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This is the book’s central theme, worded as readers search for it.</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2</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outremer frankish settlers kingdom of jerusalem</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47</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Place and people</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the period terms (Outremer, Franks) and the main state studied.</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3</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knights hospitaller medieval hospital medicine</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46</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Institution and topic</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the longest chapter (Ch. 7) and reaches history-of-medicine readers.</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frederick ii al-kamil treaty diplomacy truces</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45</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Person and event</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the 1229 treaty case study and the diplomacy chapter (Ch. 2).</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5</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usama ibn munqidh cultural exchange levant</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42</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Source and theme</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the best-known eyewitness to coexistence and the regional term “Levant”.</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6</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arabic science irrigation sugar knowledge transfer</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50</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Topic and concept</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technology and knowledge transfer (Ch. 5).</w:t>
            </w:r>
          </w:p>
        </w:tc>
      </w:tr>
      <w:tr>
        <w:trPr>
          <w:cantSplit/>
        </w:trPr>
        <w:tc>
          <w:tcPr>
            <w:tcW w:type="dxa" w:w="4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7</w:t>
            </w:r>
          </w:p>
        </w:tc>
        <w:tc>
          <w:tcPr>
            <w:tcW w:type="dxa" w:w="3880"/>
            <w:tcMar>
              <w:top w:type="dxa" w:w="70"/>
              <w:left w:type="dxa" w:w="110"/>
              <w:bottom w:type="dxa" w:w="70"/>
              <w:right w:type="dxa" w:w="110"/>
            </w:tcMar>
            <w:vAlign w:val="top"/>
          </w:tcPr>
          <w:p>
            <w:pPr>
              <w:spacing w:after="40" w:line="264"/>
            </w:pPr>
            <w:r>
              <w:rPr>
                <w:rFonts w:ascii="Consolas" w:cs="Consolas" w:eastAsia="Consolas" w:hAnsi="Consolas"/>
                <w:color w:val="333A40"/>
                <w:sz w:val="17"/>
                <w:szCs w:val="17"/>
              </w:rPr>
              <w:t xml:space="preserve">military orders castles krak des chevaliers</w:t>
            </w:r>
          </w:p>
        </w:tc>
        <w:tc>
          <w:tcPr>
            <w:tcW w:type="dxa" w:w="620"/>
            <w:tcMar>
              <w:top w:type="dxa" w:w="70"/>
              <w:left w:type="dxa" w:w="110"/>
              <w:bottom w:type="dxa" w:w="70"/>
              <w:right w:type="dxa" w:w="110"/>
            </w:tcMar>
            <w:vAlign w:val="top"/>
          </w:tcPr>
          <w:p>
            <w:pPr>
              <w:spacing w:after="40" w:line="264"/>
              <w:jc w:val="center"/>
            </w:pPr>
            <w:r>
              <w:rPr>
                <w:rFonts w:ascii="Calibri" w:cs="Calibri" w:eastAsia="Calibri" w:hAnsi="Calibri"/>
                <w:color w:val="333A40"/>
                <w:sz w:val="17"/>
                <w:szCs w:val="17"/>
              </w:rPr>
              <w:t xml:space="preserve">43</w:t>
            </w:r>
          </w:p>
        </w:tc>
        <w:tc>
          <w:tcPr>
            <w:tcW w:type="dxa" w:w="158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Institution and place</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Covers the Orders as territorial administrators (Ch. 6) and a landmark that many readers search for.</w:t>
            </w:r>
          </w:p>
        </w:tc>
      </w:tr>
    </w:tbl>
    <w:p>
      <w:pPr>
        <w:pStyle w:val="Heading1"/>
        <w:keepNext/>
        <w:pageBreakBefore/>
      </w:pPr>
      <w:r>
        <w:t xml:space="preserve">Final Metadata Summary</w:t>
      </w:r>
    </w:p>
    <w:p>
      <w:pPr>
        <w:spacing w:after="120" w:before="0" w:line="288"/>
      </w:pPr>
      <w:r>
        <w:rPr>
          <w:rFonts w:ascii="Calibri" w:cs="Calibri" w:eastAsia="Calibri" w:hAnsi="Calibri"/>
          <w:color w:val="333A40"/>
          <w:sz w:val="21"/>
          <w:szCs w:val="21"/>
        </w:rPr>
        <w:t xml:space="preserve">This is a compact reference for upload. Full descriptions are in each book’s section. Items marked “to confirm” depend on what the KDP category panel offers at upload.</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1500"/>
        <w:gridCol w:w="2666"/>
        <w:gridCol w:w="2667"/>
        <w:gridCol w:w="2667"/>
      </w:tblGrid>
      <w:tr>
        <w:trPr>
          <w:cantSplit/>
          <w:tblHeader/>
        </w:trPr>
        <w:tc>
          <w:tcPr>
            <w:tcW w:type="dxa" w:w="15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Field</w:t>
            </w:r>
          </w:p>
        </w:tc>
        <w:tc>
          <w:tcPr>
            <w:tcW w:type="dxa" w:w="2666"/>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Book One</w:t>
            </w:r>
          </w:p>
        </w:tc>
        <w:tc>
          <w:tcPr>
            <w:tcW w:type="dxa" w:w="2667"/>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Book Two</w:t>
            </w:r>
          </w:p>
        </w:tc>
        <w:tc>
          <w:tcPr>
            <w:tcW w:type="dxa" w:w="2667"/>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Book Three</w:t>
            </w:r>
          </w:p>
        </w:tc>
      </w:tr>
      <w:tr>
        <w:trPr>
          <w:cantSplit/>
        </w:trPr>
        <w:tc>
          <w:tcPr>
            <w:tcW w:type="dxa" w:w="1500"/>
            <w:shd w:fill="E9EDF3" w:color="auto" w:val="clear"/>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Title</w:t>
            </w:r>
          </w:p>
        </w:tc>
        <w:tc>
          <w:tcPr>
            <w:tcW w:type="dxa" w:w="2666"/>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The Crusades</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The Crusades</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The Crusades</w:t>
            </w:r>
          </w:p>
        </w:tc>
      </w:tr>
      <w:tr>
        <w:trPr>
          <w:cantSplit/>
        </w:trPr>
        <w:tc>
          <w:tcPr>
            <w:tcW w:type="dxa" w:w="1500"/>
            <w:shd w:fill="E9EDF3" w:color="auto" w:val="clear"/>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Subtitle</w:t>
            </w:r>
          </w:p>
        </w:tc>
        <w:tc>
          <w:tcPr>
            <w:tcW w:type="dxa" w:w="2666"/>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Origins, Society, and Politics in Medieval Europe</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Logistics, Finance, and Trade in the Medieval Mediterranean</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Collision, Integration, and Institutions in the Crusader States</w:t>
            </w:r>
          </w:p>
        </w:tc>
      </w:tr>
      <w:tr>
        <w:trPr>
          <w:cantSplit/>
        </w:trPr>
        <w:tc>
          <w:tcPr>
            <w:tcW w:type="dxa" w:w="1500"/>
            <w:shd w:fill="E9EDF3" w:color="auto" w:val="clear"/>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Series name</w:t>
            </w:r>
          </w:p>
        </w:tc>
        <w:tc>
          <w:tcPr>
            <w:tcW w:type="dxa" w:w="2666"/>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The Crusades Beyond the Battlefield</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The Crusades Beyond the Battlefield</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The Crusades Beyond the Battlefield</w:t>
            </w:r>
          </w:p>
        </w:tc>
      </w:tr>
      <w:tr>
        <w:trPr>
          <w:cantSplit/>
        </w:trPr>
        <w:tc>
          <w:tcPr>
            <w:tcW w:type="dxa" w:w="1500"/>
            <w:shd w:fill="E9EDF3" w:color="auto" w:val="clear"/>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Series number</w:t>
            </w:r>
          </w:p>
        </w:tc>
        <w:tc>
          <w:tcPr>
            <w:tcW w:type="dxa" w:w="2666"/>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1</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2</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3</w:t>
            </w:r>
          </w:p>
        </w:tc>
      </w:tr>
      <w:tr>
        <w:trPr>
          <w:cantSplit/>
        </w:trPr>
        <w:tc>
          <w:tcPr>
            <w:tcW w:type="dxa" w:w="1500"/>
            <w:shd w:fill="E9EDF3" w:color="auto" w:val="clear"/>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Author</w:t>
            </w:r>
          </w:p>
        </w:tc>
        <w:tc>
          <w:tcPr>
            <w:tcW w:type="dxa" w:w="2666"/>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David R. Bardi</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David R. Bardi</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David R. Bardi</w:t>
            </w:r>
          </w:p>
        </w:tc>
      </w:tr>
      <w:tr>
        <w:trPr>
          <w:cantSplit/>
        </w:trPr>
        <w:tc>
          <w:tcPr>
            <w:tcW w:type="dxa" w:w="1500"/>
            <w:shd w:fill="E9EDF3" w:color="auto" w:val="clear"/>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Kindle categories</w:t>
            </w:r>
          </w:p>
        </w:tc>
        <w:tc>
          <w:tcPr>
            <w:tcW w:type="dxa" w:w="2666"/>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 History of Medieval Europe</w:t>
            </w:r>
          </w:p>
          <w:p>
            <w:pPr>
              <w:spacing w:after="30" w:line="252"/>
            </w:pPr>
            <w:r>
              <w:rPr>
                <w:rFonts w:ascii="Calibri" w:cs="Calibri" w:eastAsia="Calibri" w:hAnsi="Calibri"/>
                <w:b w:val="false"/>
                <w:bCs w:val="false"/>
                <w:color w:val="333A40"/>
                <w:sz w:val="17"/>
                <w:szCs w:val="17"/>
              </w:rPr>
              <w:t xml:space="preserve">– Christian Church History</w:t>
            </w:r>
          </w:p>
          <w:p>
            <w:pPr>
              <w:spacing w:after="30" w:line="252"/>
            </w:pPr>
            <w:r>
              <w:rPr>
                <w:rFonts w:ascii="Calibri" w:cs="Calibri" w:eastAsia="Calibri" w:hAnsi="Calibri"/>
                <w:b w:val="false"/>
                <w:bCs w:val="false"/>
                <w:color w:val="333A40"/>
                <w:sz w:val="17"/>
                <w:szCs w:val="17"/>
              </w:rPr>
              <w:t xml:space="preserve">– Medieval Military History</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 Economic History</w:t>
            </w:r>
          </w:p>
          <w:p>
            <w:pPr>
              <w:spacing w:after="30" w:line="252"/>
            </w:pPr>
            <w:r>
              <w:rPr>
                <w:rFonts w:ascii="Calibri" w:cs="Calibri" w:eastAsia="Calibri" w:hAnsi="Calibri"/>
                <w:b w:val="false"/>
                <w:bCs w:val="false"/>
                <w:color w:val="333A40"/>
                <w:sz w:val="17"/>
                <w:szCs w:val="17"/>
              </w:rPr>
              <w:t xml:space="preserve">– History of Medieval Europe</w:t>
            </w:r>
          </w:p>
          <w:p>
            <w:pPr>
              <w:spacing w:after="30" w:line="252"/>
            </w:pPr>
            <w:r>
              <w:rPr>
                <w:rFonts w:ascii="Calibri" w:cs="Calibri" w:eastAsia="Calibri" w:hAnsi="Calibri"/>
                <w:b w:val="false"/>
                <w:bCs w:val="false"/>
                <w:color w:val="333A40"/>
                <w:sz w:val="17"/>
                <w:szCs w:val="17"/>
              </w:rPr>
              <w:t xml:space="preserve">– Medieval Military History</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 Social &amp; Cultural History</w:t>
            </w:r>
          </w:p>
          <w:p>
            <w:pPr>
              <w:spacing w:after="30" w:line="252"/>
            </w:pPr>
            <w:r>
              <w:rPr>
                <w:rFonts w:ascii="Calibri" w:cs="Calibri" w:eastAsia="Calibri" w:hAnsi="Calibri"/>
                <w:b w:val="false"/>
                <w:bCs w:val="false"/>
                <w:color w:val="333A40"/>
                <w:sz w:val="17"/>
                <w:szCs w:val="17"/>
              </w:rPr>
              <w:t xml:space="preserve">– Middle East History</w:t>
            </w:r>
          </w:p>
          <w:p>
            <w:pPr>
              <w:spacing w:after="30" w:line="252"/>
            </w:pPr>
            <w:r>
              <w:rPr>
                <w:rFonts w:ascii="Calibri" w:cs="Calibri" w:eastAsia="Calibri" w:hAnsi="Calibri"/>
                <w:b w:val="false"/>
                <w:bCs w:val="false"/>
                <w:color w:val="333A40"/>
                <w:sz w:val="17"/>
                <w:szCs w:val="17"/>
              </w:rPr>
              <w:t xml:space="preserve">– Medieval Military History</w:t>
            </w:r>
          </w:p>
        </w:tc>
      </w:tr>
      <w:tr>
        <w:trPr>
          <w:cantSplit/>
        </w:trPr>
        <w:tc>
          <w:tcPr>
            <w:tcW w:type="dxa" w:w="1500"/>
            <w:shd w:fill="E9EDF3" w:color="auto" w:val="clear"/>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Paperback categories</w:t>
            </w:r>
          </w:p>
        </w:tc>
        <w:tc>
          <w:tcPr>
            <w:tcW w:type="dxa" w:w="2666"/>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 Medieval History</w:t>
            </w:r>
          </w:p>
          <w:p>
            <w:pPr>
              <w:spacing w:after="30" w:line="252"/>
            </w:pPr>
            <w:r>
              <w:rPr>
                <w:rFonts w:ascii="Calibri" w:cs="Calibri" w:eastAsia="Calibri" w:hAnsi="Calibri"/>
                <w:b w:val="false"/>
                <w:bCs w:val="false"/>
                <w:color w:val="333A40"/>
                <w:sz w:val="17"/>
                <w:szCs w:val="17"/>
              </w:rPr>
              <w:t xml:space="preserve">– European History</w:t>
            </w:r>
          </w:p>
          <w:p>
            <w:pPr>
              <w:spacing w:after="30" w:line="252"/>
            </w:pPr>
            <w:r>
              <w:rPr>
                <w:rFonts w:ascii="Calibri" w:cs="Calibri" w:eastAsia="Calibri" w:hAnsi="Calibri"/>
                <w:b w:val="false"/>
                <w:bCs w:val="false"/>
                <w:color w:val="333A40"/>
                <w:sz w:val="17"/>
                <w:szCs w:val="17"/>
              </w:rPr>
              <w:t xml:space="preserve">– Military History › Medieval (to confirm)</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 Economic History</w:t>
            </w:r>
          </w:p>
          <w:p>
            <w:pPr>
              <w:spacing w:after="30" w:line="252"/>
            </w:pPr>
            <w:r>
              <w:rPr>
                <w:rFonts w:ascii="Calibri" w:cs="Calibri" w:eastAsia="Calibri" w:hAnsi="Calibri"/>
                <w:b w:val="false"/>
                <w:bCs w:val="false"/>
                <w:color w:val="333A40"/>
                <w:sz w:val="17"/>
                <w:szCs w:val="17"/>
              </w:rPr>
              <w:t xml:space="preserve">– Medieval History</w:t>
            </w:r>
          </w:p>
          <w:p>
            <w:pPr>
              <w:spacing w:after="30" w:line="252"/>
            </w:pPr>
            <w:r>
              <w:rPr>
                <w:rFonts w:ascii="Calibri" w:cs="Calibri" w:eastAsia="Calibri" w:hAnsi="Calibri"/>
                <w:b w:val="false"/>
                <w:bCs w:val="false"/>
                <w:color w:val="333A40"/>
                <w:sz w:val="17"/>
                <w:szCs w:val="17"/>
              </w:rPr>
              <w:t xml:space="preserve">– European History</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 Middle East History</w:t>
            </w:r>
          </w:p>
          <w:p>
            <w:pPr>
              <w:spacing w:after="30" w:line="252"/>
            </w:pPr>
            <w:r>
              <w:rPr>
                <w:rFonts w:ascii="Calibri" w:cs="Calibri" w:eastAsia="Calibri" w:hAnsi="Calibri"/>
                <w:b w:val="false"/>
                <w:bCs w:val="false"/>
                <w:color w:val="333A40"/>
                <w:sz w:val="17"/>
                <w:szCs w:val="17"/>
              </w:rPr>
              <w:t xml:space="preserve">– Medieval History</w:t>
            </w:r>
          </w:p>
          <w:p>
            <w:pPr>
              <w:spacing w:after="30" w:line="252"/>
            </w:pPr>
            <w:r>
              <w:rPr>
                <w:rFonts w:ascii="Calibri" w:cs="Calibri" w:eastAsia="Calibri" w:hAnsi="Calibri"/>
                <w:b w:val="false"/>
                <w:bCs w:val="false"/>
                <w:color w:val="333A40"/>
                <w:sz w:val="17"/>
                <w:szCs w:val="17"/>
              </w:rPr>
              <w:t xml:space="preserve">– Military History › Medieval (to confirm)</w:t>
            </w:r>
          </w:p>
        </w:tc>
      </w:tr>
      <w:tr>
        <w:trPr>
          <w:cantSplit/>
        </w:trPr>
        <w:tc>
          <w:tcPr>
            <w:tcW w:type="dxa" w:w="1500"/>
            <w:shd w:fill="E9EDF3" w:color="auto" w:val="clear"/>
            <w:tcMar>
              <w:top w:type="dxa" w:w="70"/>
              <w:left w:type="dxa" w:w="110"/>
              <w:bottom w:type="dxa" w:w="70"/>
              <w:right w:type="dxa" w:w="110"/>
            </w:tcMar>
            <w:vAlign w:val="top"/>
          </w:tcPr>
          <w:p>
            <w:pPr>
              <w:spacing w:after="30" w:line="252"/>
            </w:pPr>
            <w:r>
              <w:rPr>
                <w:rFonts w:ascii="Calibri" w:cs="Calibri" w:eastAsia="Calibri" w:hAnsi="Calibri"/>
                <w:b/>
                <w:bCs/>
                <w:color w:val="333A40"/>
                <w:sz w:val="17"/>
                <w:szCs w:val="17"/>
              </w:rPr>
              <w:t xml:space="preserve">Description</w:t>
            </w:r>
          </w:p>
        </w:tc>
        <w:tc>
          <w:tcPr>
            <w:tcW w:type="dxa" w:w="2666"/>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280 words · 1,748 chars plain · 1,851 chars HTML</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297 words · 1,840 chars plain · 1,937 chars HTML</w:t>
            </w:r>
          </w:p>
        </w:tc>
        <w:tc>
          <w:tcPr>
            <w:tcW w:type="dxa" w:w="2667"/>
            <w:tcMar>
              <w:top w:type="dxa" w:w="70"/>
              <w:left w:type="dxa" w:w="110"/>
              <w:bottom w:type="dxa" w:w="70"/>
              <w:right w:type="dxa" w:w="110"/>
            </w:tcMar>
            <w:vAlign w:val="top"/>
          </w:tcPr>
          <w:p>
            <w:pPr>
              <w:spacing w:after="30" w:line="252"/>
            </w:pPr>
            <w:r>
              <w:rPr>
                <w:rFonts w:ascii="Calibri" w:cs="Calibri" w:eastAsia="Calibri" w:hAnsi="Calibri"/>
                <w:b w:val="false"/>
                <w:bCs w:val="false"/>
                <w:color w:val="333A40"/>
                <w:sz w:val="17"/>
                <w:szCs w:val="17"/>
              </w:rPr>
              <w:t xml:space="preserve">274 words · 1,787 chars plain · 1,884 chars HTML</w:t>
            </w:r>
          </w:p>
        </w:tc>
      </w:tr>
    </w:tbl>
    <w:p>
      <w:pPr>
        <w:spacing w:after="160" w:before="0"/>
      </w:pPr>
    </w:p>
    <w:p>
      <w:pPr>
        <w:pStyle w:val="Heading2"/>
        <w:keepNext/>
      </w:pPr>
      <w:r>
        <w:t xml:space="preserve">Backend keywords (seven fields per book)</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500"/>
        <w:gridCol w:w="3000"/>
        <w:gridCol w:w="3000"/>
        <w:gridCol w:w="3000"/>
      </w:tblGrid>
      <w:tr>
        <w:trPr>
          <w:cantSplit/>
          <w:tblHeader/>
        </w:trPr>
        <w:tc>
          <w:tcPr>
            <w:tcW w:type="dxa" w:w="5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t>
            </w:r>
          </w:p>
        </w:tc>
        <w:tc>
          <w:tcPr>
            <w:tcW w:type="dxa" w:w="30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Book One</w:t>
            </w:r>
          </w:p>
        </w:tc>
        <w:tc>
          <w:tcPr>
            <w:tcW w:type="dxa" w:w="30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Book Two</w:t>
            </w:r>
          </w:p>
        </w:tc>
        <w:tc>
          <w:tcPr>
            <w:tcW w:type="dxa" w:w="30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Book Three</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color w:val="333A40"/>
                <w:sz w:val="16"/>
                <w:szCs w:val="16"/>
              </w:rPr>
              <w:t xml:space="preserve">1</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first crusade urban ii council of clermont 1095  (47)</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knights templar banking letters of credit  (41)</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coexistence christians muslims holy land  (40)</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color w:val="333A40"/>
                <w:sz w:val="16"/>
                <w:szCs w:val="16"/>
              </w:rPr>
              <w:t xml:space="preserve">2</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gregorian reform papacy just war and holy war  (45)</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venice genoa pisa maritime republics  (36)</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outremer frankish settlers kingdom of jerusalem  (47)</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color w:val="333A40"/>
                <w:sz w:val="16"/>
                <w:szCs w:val="16"/>
              </w:rPr>
              <w:t xml:space="preserve">3</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knights feudalism younger sons land hunger  (42)</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commercial revolution merchant capitalism origins  (49)</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knights hospitaller medieval hospital medicine  (46)</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color w:val="333A40"/>
                <w:sz w:val="16"/>
                <w:szCs w:val="16"/>
              </w:rPr>
              <w:t xml:space="preserve">4</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famine population growth eleventh century peasants  (50)</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commenda bill of exchange double entry bookkeeping  (50)</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frederick ii al-kamil treaty diplomacy truces  (45)</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color w:val="333A40"/>
                <w:sz w:val="16"/>
                <w:szCs w:val="16"/>
              </w:rPr>
              <w:t xml:space="preserve">5</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peoples crusade peter the hermit pauperes  (41)</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saladin tithe papal taxation sovereign debt  (43)</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usama ibn munqidh cultural exchange levant  (42)</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color w:val="333A40"/>
                <w:sz w:val="16"/>
                <w:szCs w:val="16"/>
              </w:rPr>
              <w:t xml:space="preserve">6</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propaganda preaching indulgences armed pilgrimage  (49)</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spice route sugar plantations slave trade acre  (46)</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arabic science irrigation sugar knowledge transfer  (50)</w:t>
            </w:r>
          </w:p>
        </w:tc>
      </w:tr>
      <w:tr>
        <w:trPr>
          <w:cantSplit/>
        </w:trPr>
        <w:tc>
          <w:tcPr>
            <w:tcW w:type="dxa" w:w="500"/>
            <w:tcMar>
              <w:top w:type="dxa" w:w="70"/>
              <w:left w:type="dxa" w:w="110"/>
              <w:bottom w:type="dxa" w:w="70"/>
              <w:right w:type="dxa" w:w="110"/>
            </w:tcMar>
            <w:vAlign w:val="top"/>
          </w:tcPr>
          <w:p>
            <w:pPr>
              <w:spacing w:after="40" w:line="264"/>
              <w:jc w:val="center"/>
            </w:pPr>
            <w:r>
              <w:rPr>
                <w:rFonts w:ascii="Calibri" w:cs="Calibri" w:eastAsia="Calibri" w:hAnsi="Calibri"/>
                <w:color w:val="333A40"/>
                <w:sz w:val="16"/>
                <w:szCs w:val="16"/>
              </w:rPr>
              <w:t xml:space="preserve">7</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colonial expansion geopolitics image of infidels  (48)</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galleys horse transports supply chain louis ix  (46)</w:t>
            </w:r>
          </w:p>
        </w:tc>
        <w:tc>
          <w:tcPr>
            <w:tcW w:type="dxa" w:w="3000"/>
            <w:tcMar>
              <w:top w:type="dxa" w:w="70"/>
              <w:left w:type="dxa" w:w="110"/>
              <w:bottom w:type="dxa" w:w="70"/>
              <w:right w:type="dxa" w:w="110"/>
            </w:tcMar>
            <w:vAlign w:val="top"/>
          </w:tcPr>
          <w:p>
            <w:pPr>
              <w:spacing w:after="40" w:line="264"/>
            </w:pPr>
            <w:r>
              <w:rPr>
                <w:rFonts w:ascii="Calibri" w:cs="Calibri" w:eastAsia="Calibri" w:hAnsi="Calibri"/>
                <w:color w:val="333A40"/>
                <w:sz w:val="16"/>
                <w:szCs w:val="16"/>
              </w:rPr>
              <w:t xml:space="preserve">military orders castles krak des chevaliers  (43)</w:t>
            </w:r>
          </w:p>
        </w:tc>
      </w:tr>
    </w:tbl>
    <w:p>
      <w:pPr>
        <w:pStyle w:val="Heading1"/>
        <w:keepNext/>
        <w:pageBreakBefore/>
      </w:pPr>
      <w:r>
        <w:t xml:space="preserve">Sources &amp; Verification Notes</w:t>
      </w:r>
    </w:p>
    <w:p>
      <w:pPr>
        <w:spacing w:after="120" w:before="0" w:line="288"/>
      </w:pPr>
      <w:r>
        <w:rPr>
          <w:rFonts w:ascii="Calibri" w:cs="Calibri" w:eastAsia="Calibri" w:hAnsi="Calibri"/>
          <w:color w:val="333A40"/>
          <w:sz w:val="21"/>
          <w:szCs w:val="21"/>
        </w:rPr>
        <w:t xml:space="preserve">All sources were consulted on 22 October 2026.</w:t>
      </w:r>
    </w:p>
    <w:p>
      <w:pPr>
        <w:pStyle w:val="Heading2"/>
        <w:keepNext/>
      </w:pPr>
      <w:r>
        <w:t xml:space="preserve">Verification limits</w:t>
      </w:r>
    </w:p>
    <w:p>
      <w:pPr>
        <w:pStyle w:val="ListParagraph"/>
        <w:keepLines/>
        <w:numPr>
          <w:ilvl w:val="0"/>
          <w:numId w:val="2"/>
        </w:numPr>
        <w:spacing w:after="60" w:line="276"/>
      </w:pPr>
      <w:r>
        <w:rPr>
          <w:rFonts w:ascii="Calibri" w:cs="Calibri" w:eastAsia="Calibri" w:hAnsi="Calibri"/>
          <w:color w:val="333A40"/>
          <w:sz w:val="19"/>
          <w:szCs w:val="19"/>
        </w:rPr>
        <w:t xml:space="preserve">Our research environment could not open amazon.com or kdp.amazon.com pages directly. Network access was refused. KDP policy content and Amazon category pages were therefore confirmed through search-engine retrieval of the official pages listed below. Where a precise figure is not stated on an official page, this is noted.</w:t>
      </w:r>
    </w:p>
    <w:p>
      <w:pPr>
        <w:pStyle w:val="ListParagraph"/>
        <w:keepLines/>
        <w:numPr>
          <w:ilvl w:val="0"/>
          <w:numId w:val="2"/>
        </w:numPr>
        <w:spacing w:after="60" w:line="276"/>
      </w:pPr>
      <w:r>
        <w:rPr>
          <w:rFonts w:ascii="Calibri" w:cs="Calibri" w:eastAsia="Calibri" w:hAnsi="Calibri"/>
          <w:color w:val="333A40"/>
          <w:sz w:val="19"/>
          <w:szCs w:val="19"/>
        </w:rPr>
        <w:t xml:space="preserve">The KDP category selector requires the author’s account. The panel paths in this report are expectations and must be confirmed at upload. Store categories marked “verified” are confirmed to exist on Amazon.com. This does not guarantee that they can be selected in KDP.</w:t>
      </w:r>
    </w:p>
    <w:p>
      <w:pPr>
        <w:pStyle w:val="ListParagraph"/>
        <w:keepLines/>
        <w:numPr>
          <w:ilvl w:val="0"/>
          <w:numId w:val="2"/>
        </w:numPr>
        <w:spacing w:after="60" w:line="276"/>
      </w:pPr>
      <w:r>
        <w:rPr>
          <w:rFonts w:ascii="Calibri" w:cs="Calibri" w:eastAsia="Calibri" w:hAnsi="Calibri"/>
          <w:color w:val="333A40"/>
          <w:sz w:val="19"/>
          <w:szCs w:val="19"/>
        </w:rPr>
        <w:t xml:space="preserve">No search-volume, sales, conversion or competition data was available. All market observations are qualitative. No bestseller badge or ranking position can be promised.</w:t>
      </w:r>
    </w:p>
    <w:p>
      <w:pPr>
        <w:pStyle w:val="ListParagraph"/>
        <w:keepLines/>
        <w:numPr>
          <w:ilvl w:val="0"/>
          <w:numId w:val="2"/>
        </w:numPr>
        <w:spacing w:after="60" w:line="276"/>
      </w:pPr>
      <w:r>
        <w:rPr>
          <w:rFonts w:ascii="Calibri" w:cs="Calibri" w:eastAsia="Calibri" w:hAnsi="Calibri"/>
          <w:color w:val="333A40"/>
          <w:sz w:val="19"/>
          <w:szCs w:val="19"/>
        </w:rPr>
        <w:t xml:space="preserve">The 50-character limit per keyword field is reported consistently by third-party KDP guides and is enforced by the field itself. KDP’s own help page asks authors to “keep an eye on the character limit in the text field”. All 21 strings are 50 characters or fewer, so they fit either way.</w:t>
      </w:r>
    </w:p>
    <w:p>
      <w:pPr>
        <w:pStyle w:val="ListParagraph"/>
        <w:keepLines/>
        <w:numPr>
          <w:ilvl w:val="0"/>
          <w:numId w:val="2"/>
        </w:numPr>
        <w:spacing w:after="60" w:line="276"/>
      </w:pPr>
      <w:r>
        <w:rPr>
          <w:rFonts w:ascii="Calibri" w:cs="Calibri" w:eastAsia="Calibri" w:hAnsi="Calibri"/>
          <w:color w:val="333A40"/>
          <w:sz w:val="19"/>
          <w:szCs w:val="19"/>
        </w:rPr>
        <w:t xml:space="preserve">The full official list of HTML tags supported in descriptions could not be retrieved. We therefore used only a minimal, widely supported set: &lt;p&gt;, &lt;b&gt;, &lt;ul&gt;, &lt;li&gt;.</w:t>
      </w:r>
    </w:p>
    <w:p>
      <w:pPr>
        <w:pStyle w:val="Heading2"/>
        <w:keepNext/>
      </w:pPr>
      <w:r>
        <w:t xml:space="preserve">Official KDP documentation</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2800"/>
        <w:gridCol w:w="6700"/>
      </w:tblGrid>
      <w:tr>
        <w:trPr>
          <w:cantSplit/>
          <w:tblHeader/>
        </w:trPr>
        <w:tc>
          <w:tcPr>
            <w:tcW w:type="dxa" w:w="28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Page</w:t>
            </w:r>
          </w:p>
        </w:tc>
        <w:tc>
          <w:tcPr>
            <w:tcW w:type="dxa" w:w="67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What it supports in this report</w:t>
            </w:r>
          </w:p>
        </w:tc>
      </w:tr>
      <w:tr>
        <w:trPr>
          <w:cantSplit/>
        </w:trPr>
        <w:tc>
          <w:tcPr>
            <w:tcW w:type="dxa" w:w="2800"/>
            <w:tcMar>
              <w:top w:type="dxa" w:w="70"/>
              <w:left w:type="dxa" w:w="110"/>
              <w:bottom w:type="dxa" w:w="70"/>
              <w:right w:type="dxa" w:w="110"/>
            </w:tcMar>
            <w:vAlign w:val="top"/>
          </w:tcPr>
          <w:p>
            <w:pPr>
              <w:spacing w:after="30"/>
            </w:pPr>
            <w:r>
              <w:rPr>
                <w:rFonts w:ascii="Calibri" w:cs="Calibri" w:eastAsia="Calibri" w:hAnsi="Calibri"/>
                <w:b/>
                <w:bCs/>
                <w:color w:val="333A40"/>
                <w:sz w:val="17"/>
                <w:szCs w:val="17"/>
              </w:rPr>
              <w:t xml:space="preserve">Metadata Guidelines for Books</w:t>
            </w:r>
          </w:p>
          <w:p>
            <w:hyperlink w:history="1" r:id="rIdt8diqppqcant2dxzibcrr">
              <w:r>
                <w:rPr>
                  <w:rStyle w:val="Hyperlink"/>
                  <w:rFonts w:ascii="Calibri" w:cs="Calibri" w:eastAsia="Calibri" w:hAnsi="Calibri"/>
                  <w:sz w:val="16"/>
                  <w:szCs w:val="16"/>
                </w:rPr>
                <w:t xml:space="preserve">Open page</w:t>
              </w:r>
            </w:hyperlink>
          </w:p>
        </w:tc>
        <w:tc>
          <w:tcPr>
            <w:tcW w:type="dxa" w:w="67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Title field must contain the title as it appears on the cover. Title and subtitle together under 200 characters. Subtitle follows the same rules. Prohibited: sales-rank and promotional references, unauthorized references to other titles, authors or trademarks. Series name entered without number. Cover title, subtitle, author and series should match metadata.</w:t>
            </w:r>
          </w:p>
        </w:tc>
      </w:tr>
      <w:tr>
        <w:trPr>
          <w:cantSplit/>
        </w:trPr>
        <w:tc>
          <w:tcPr>
            <w:tcW w:type="dxa" w:w="2800"/>
            <w:tcMar>
              <w:top w:type="dxa" w:w="70"/>
              <w:left w:type="dxa" w:w="110"/>
              <w:bottom w:type="dxa" w:w="70"/>
              <w:right w:type="dxa" w:w="110"/>
            </w:tcMar>
            <w:vAlign w:val="top"/>
          </w:tcPr>
          <w:p>
            <w:pPr>
              <w:spacing w:after="30"/>
            </w:pPr>
            <w:r>
              <w:rPr>
                <w:rFonts w:ascii="Calibri" w:cs="Calibri" w:eastAsia="Calibri" w:hAnsi="Calibri"/>
                <w:b/>
                <w:bCs/>
                <w:color w:val="333A40"/>
                <w:sz w:val="17"/>
                <w:szCs w:val="17"/>
              </w:rPr>
              <w:t xml:space="preserve">Make Your Book More Discoverable with Keywords</w:t>
            </w:r>
          </w:p>
          <w:p>
            <w:hyperlink w:history="1" r:id="rIdvyidlie29jfown0xd2glx">
              <w:r>
                <w:rPr>
                  <w:rStyle w:val="Hyperlink"/>
                  <w:rFonts w:ascii="Calibri" w:cs="Calibri" w:eastAsia="Calibri" w:hAnsi="Calibri"/>
                  <w:sz w:val="16"/>
                  <w:szCs w:val="16"/>
                </w:rPr>
                <w:t xml:space="preserve">Open page</w:t>
              </w:r>
            </w:hyperlink>
          </w:p>
        </w:tc>
        <w:tc>
          <w:tcPr>
            <w:tcW w:type="dxa" w:w="67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Up to seven keywords or short phrases. Avoid information already in the title or contributors, subjective claims, time-sensitive terms and Amazon program names.</w:t>
            </w:r>
          </w:p>
        </w:tc>
      </w:tr>
      <w:tr>
        <w:trPr>
          <w:cantSplit/>
        </w:trPr>
        <w:tc>
          <w:tcPr>
            <w:tcW w:type="dxa" w:w="2800"/>
            <w:tcMar>
              <w:top w:type="dxa" w:w="70"/>
              <w:left w:type="dxa" w:w="110"/>
              <w:bottom w:type="dxa" w:w="70"/>
              <w:right w:type="dxa" w:w="110"/>
            </w:tcMar>
            <w:vAlign w:val="top"/>
          </w:tcPr>
          <w:p>
            <w:pPr>
              <w:spacing w:after="30"/>
            </w:pPr>
            <w:r>
              <w:rPr>
                <w:rFonts w:ascii="Calibri" w:cs="Calibri" w:eastAsia="Calibri" w:hAnsi="Calibri"/>
                <w:b/>
                <w:bCs/>
                <w:color w:val="333A40"/>
                <w:sz w:val="17"/>
                <w:szCs w:val="17"/>
              </w:rPr>
              <w:t xml:space="preserve">KDP Categories</w:t>
            </w:r>
          </w:p>
          <w:p>
            <w:hyperlink w:history="1" r:id="rIdgctkotiubddw345u8oy-n">
              <w:r>
                <w:rPr>
                  <w:rStyle w:val="Hyperlink"/>
                  <w:rFonts w:ascii="Calibri" w:cs="Calibri" w:eastAsia="Calibri" w:hAnsi="Calibri"/>
                  <w:sz w:val="16"/>
                  <w:szCs w:val="16"/>
                </w:rPr>
                <w:t xml:space="preserve">Open page</w:t>
              </w:r>
            </w:hyperlink>
          </w:p>
        </w:tc>
        <w:tc>
          <w:tcPr>
            <w:tcW w:type="dxa" w:w="67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Up to three categories chosen at setup. Some categories are unavailable for some formats. Choose relevant categories.</w:t>
            </w:r>
          </w:p>
        </w:tc>
      </w:tr>
      <w:tr>
        <w:trPr>
          <w:cantSplit/>
        </w:trPr>
        <w:tc>
          <w:tcPr>
            <w:tcW w:type="dxa" w:w="2800"/>
            <w:tcMar>
              <w:top w:type="dxa" w:w="70"/>
              <w:left w:type="dxa" w:w="110"/>
              <w:bottom w:type="dxa" w:w="70"/>
              <w:right w:type="dxa" w:w="110"/>
            </w:tcMar>
            <w:vAlign w:val="top"/>
          </w:tcPr>
          <w:p>
            <w:pPr>
              <w:spacing w:after="30"/>
            </w:pPr>
            <w:r>
              <w:rPr>
                <w:rFonts w:ascii="Calibri" w:cs="Calibri" w:eastAsia="Calibri" w:hAnsi="Calibri"/>
                <w:b/>
                <w:bCs/>
                <w:color w:val="333A40"/>
                <w:sz w:val="17"/>
                <w:szCs w:val="17"/>
              </w:rPr>
              <w:t xml:space="preserve">Write a Book Description</w:t>
            </w:r>
          </w:p>
          <w:p>
            <w:hyperlink w:history="1" r:id="rIdqxntzm5g0hucf2ek5ny31">
              <w:r>
                <w:rPr>
                  <w:rStyle w:val="Hyperlink"/>
                  <w:rFonts w:ascii="Calibri" w:cs="Calibri" w:eastAsia="Calibri" w:hAnsi="Calibri"/>
                  <w:sz w:val="16"/>
                  <w:szCs w:val="16"/>
                </w:rPr>
                <w:t xml:space="preserve">Open page</w:t>
              </w:r>
            </w:hyperlink>
          </w:p>
        </w:tc>
        <w:tc>
          <w:tcPr>
            <w:tcW w:type="dxa" w:w="67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4,000-character limit. Basic HTML formatting supported in the description.</w:t>
            </w:r>
          </w:p>
        </w:tc>
      </w:tr>
      <w:tr>
        <w:trPr>
          <w:cantSplit/>
        </w:trPr>
        <w:tc>
          <w:tcPr>
            <w:tcW w:type="dxa" w:w="2800"/>
            <w:tcMar>
              <w:top w:type="dxa" w:w="70"/>
              <w:left w:type="dxa" w:w="110"/>
              <w:bottom w:type="dxa" w:w="70"/>
              <w:right w:type="dxa" w:w="110"/>
            </w:tcMar>
            <w:vAlign w:val="top"/>
          </w:tcPr>
          <w:p>
            <w:pPr>
              <w:spacing w:after="30"/>
            </w:pPr>
            <w:r>
              <w:rPr>
                <w:rFonts w:ascii="Calibri" w:cs="Calibri" w:eastAsia="Calibri" w:hAnsi="Calibri"/>
                <w:b/>
                <w:bCs/>
                <w:color w:val="333A40"/>
                <w:sz w:val="17"/>
                <w:szCs w:val="17"/>
              </w:rPr>
              <w:t xml:space="preserve">Fixing errors or formatting with book descriptions</w:t>
            </w:r>
          </w:p>
          <w:p>
            <w:hyperlink w:history="1" r:id="rIdcniwgxteetmtqapi03iqg">
              <w:r>
                <w:rPr>
                  <w:rStyle w:val="Hyperlink"/>
                  <w:rFonts w:ascii="Calibri" w:cs="Calibri" w:eastAsia="Calibri" w:hAnsi="Calibri"/>
                  <w:sz w:val="16"/>
                  <w:szCs w:val="16"/>
                </w:rPr>
                <w:t xml:space="preserve">Open page</w:t>
              </w:r>
            </w:hyperlink>
          </w:p>
        </w:tc>
        <w:tc>
          <w:tcPr>
            <w:tcW w:type="dxa" w:w="67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Hidden or unsupported characters cause errors. Check the Source view.</w:t>
            </w:r>
          </w:p>
        </w:tc>
      </w:tr>
      <w:tr>
        <w:trPr>
          <w:cantSplit/>
        </w:trPr>
        <w:tc>
          <w:tcPr>
            <w:tcW w:type="dxa" w:w="2800"/>
            <w:tcMar>
              <w:top w:type="dxa" w:w="70"/>
              <w:left w:type="dxa" w:w="110"/>
              <w:bottom w:type="dxa" w:w="70"/>
              <w:right w:type="dxa" w:w="110"/>
            </w:tcMar>
            <w:vAlign w:val="top"/>
          </w:tcPr>
          <w:p>
            <w:pPr>
              <w:spacing w:after="30"/>
            </w:pPr>
            <w:r>
              <w:rPr>
                <w:rFonts w:ascii="Calibri" w:cs="Calibri" w:eastAsia="Calibri" w:hAnsi="Calibri"/>
                <w:b/>
                <w:bCs/>
                <w:color w:val="333A40"/>
                <w:sz w:val="17"/>
                <w:szCs w:val="17"/>
              </w:rPr>
              <w:t xml:space="preserve">Guide to Kindle Content Quality</w:t>
            </w:r>
          </w:p>
          <w:p>
            <w:hyperlink w:history="1" r:id="rIdasndorc0zsfiuiezbnzfo">
              <w:r>
                <w:rPr>
                  <w:rStyle w:val="Hyperlink"/>
                  <w:rFonts w:ascii="Calibri" w:cs="Calibri" w:eastAsia="Calibri" w:hAnsi="Calibri"/>
                  <w:sz w:val="16"/>
                  <w:szCs w:val="16"/>
                </w:rPr>
                <w:t xml:space="preserve">Open page</w:t>
              </w:r>
            </w:hyperlink>
          </w:p>
        </w:tc>
        <w:tc>
          <w:tcPr>
            <w:tcW w:type="dxa" w:w="67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A mismatch between the title or subtitle in the file and the metadata is treated as a quality issue.</w:t>
            </w:r>
          </w:p>
        </w:tc>
      </w:tr>
      <w:tr>
        <w:trPr>
          <w:cantSplit/>
        </w:trPr>
        <w:tc>
          <w:tcPr>
            <w:tcW w:type="dxa" w:w="2800"/>
            <w:tcMar>
              <w:top w:type="dxa" w:w="70"/>
              <w:left w:type="dxa" w:w="110"/>
              <w:bottom w:type="dxa" w:w="70"/>
              <w:right w:type="dxa" w:w="110"/>
            </w:tcMar>
            <w:vAlign w:val="top"/>
          </w:tcPr>
          <w:p>
            <w:pPr>
              <w:spacing w:after="30"/>
            </w:pPr>
            <w:r>
              <w:rPr>
                <w:rFonts w:ascii="Calibri" w:cs="Calibri" w:eastAsia="Calibri" w:hAnsi="Calibri"/>
                <w:b/>
                <w:bCs/>
                <w:color w:val="333A40"/>
                <w:sz w:val="17"/>
                <w:szCs w:val="17"/>
              </w:rPr>
              <w:t xml:space="preserve">Link Your Books Together</w:t>
            </w:r>
          </w:p>
          <w:p>
            <w:hyperlink w:history="1" r:id="rId9_kc0objjbihyrmdeovb5">
              <w:r>
                <w:rPr>
                  <w:rStyle w:val="Hyperlink"/>
                  <w:rFonts w:ascii="Calibri" w:cs="Calibri" w:eastAsia="Calibri" w:hAnsi="Calibri"/>
                  <w:sz w:val="16"/>
                  <w:szCs w:val="16"/>
                </w:rPr>
                <w:t xml:space="preserve">Open page</w:t>
              </w:r>
            </w:hyperlink>
          </w:p>
        </w:tc>
        <w:tc>
          <w:tcPr>
            <w:tcW w:type="dxa" w:w="67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Formats link automatically when details such as title, author and series match.</w:t>
            </w:r>
          </w:p>
        </w:tc>
      </w:tr>
    </w:tbl>
    <w:p>
      <w:pPr>
        <w:pStyle w:val="Heading2"/>
        <w:keepNext/>
      </w:pPr>
      <w:r>
        <w:t xml:space="preserve">Amazon.com store categories (indexed Best Sellers pages)</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4300"/>
        <w:gridCol w:w="5200"/>
      </w:tblGrid>
      <w:tr>
        <w:trPr>
          <w:cantSplit/>
          <w:tblHeader/>
        </w:trPr>
        <w:tc>
          <w:tcPr>
            <w:tcW w:type="dxa" w:w="43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Category</w:t>
            </w:r>
          </w:p>
        </w:tc>
        <w:tc>
          <w:tcPr>
            <w:tcW w:type="dxa" w:w="52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Link</w:t>
            </w:r>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History of Medieval Europe (Kindle)</w:t>
            </w:r>
          </w:p>
        </w:tc>
        <w:tc>
          <w:tcPr>
            <w:tcW w:type="dxa" w:w="5200"/>
            <w:tcMar>
              <w:top w:type="dxa" w:w="70"/>
              <w:left w:type="dxa" w:w="110"/>
              <w:bottom w:type="dxa" w:w="70"/>
              <w:right w:type="dxa" w:w="110"/>
            </w:tcMar>
            <w:vAlign w:val="top"/>
          </w:tcPr>
          <w:p>
            <w:hyperlink w:history="1" r:id="rId97b1sjuqlcf7lrdvcyxa5">
              <w:r>
                <w:rPr>
                  <w:rStyle w:val="Hyperlink"/>
                  <w:rFonts w:ascii="Calibri" w:cs="Calibri" w:eastAsia="Calibri" w:hAnsi="Calibri"/>
                  <w:sz w:val="15"/>
                  <w:szCs w:val="15"/>
                </w:rPr>
                <w:t xml:space="preserve">www.amazon.com/Best-Sellers-History-of-Medieval-Europe/zgbs/digital-te…</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Medieval Military History (Kindle)</w:t>
            </w:r>
          </w:p>
        </w:tc>
        <w:tc>
          <w:tcPr>
            <w:tcW w:type="dxa" w:w="5200"/>
            <w:tcMar>
              <w:top w:type="dxa" w:w="70"/>
              <w:left w:type="dxa" w:w="110"/>
              <w:bottom w:type="dxa" w:w="70"/>
              <w:right w:type="dxa" w:w="110"/>
            </w:tcMar>
            <w:vAlign w:val="top"/>
          </w:tcPr>
          <w:p>
            <w:hyperlink w:history="1" r:id="rIdipmkjd6mt0vsuhuuz5pin">
              <w:r>
                <w:rPr>
                  <w:rStyle w:val="Hyperlink"/>
                  <w:rFonts w:ascii="Calibri" w:cs="Calibri" w:eastAsia="Calibri" w:hAnsi="Calibri"/>
                  <w:sz w:val="15"/>
                  <w:szCs w:val="15"/>
                </w:rPr>
                <w:t xml:space="preserve">www.amazon.com/Best-Sellers-Kindle-Store-Medieval-Military-History/zgb…</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Christian Church History (Kindle)</w:t>
            </w:r>
          </w:p>
        </w:tc>
        <w:tc>
          <w:tcPr>
            <w:tcW w:type="dxa" w:w="5200"/>
            <w:tcMar>
              <w:top w:type="dxa" w:w="70"/>
              <w:left w:type="dxa" w:w="110"/>
              <w:bottom w:type="dxa" w:w="70"/>
              <w:right w:type="dxa" w:w="110"/>
            </w:tcMar>
            <w:vAlign w:val="top"/>
          </w:tcPr>
          <w:p>
            <w:hyperlink w:history="1" r:id="rId1gl4747jl8p0xi6srrpk-">
              <w:r>
                <w:rPr>
                  <w:rStyle w:val="Hyperlink"/>
                  <w:rFonts w:ascii="Calibri" w:cs="Calibri" w:eastAsia="Calibri" w:hAnsi="Calibri"/>
                  <w:sz w:val="15"/>
                  <w:szCs w:val="15"/>
                </w:rPr>
                <w:t xml:space="preserve">www.amazon.com/Best-Sellers-Christian-Church-History/zgbs/digital-text…</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Economic History (Kindle)</w:t>
            </w:r>
          </w:p>
        </w:tc>
        <w:tc>
          <w:tcPr>
            <w:tcW w:type="dxa" w:w="5200"/>
            <w:tcMar>
              <w:top w:type="dxa" w:w="70"/>
              <w:left w:type="dxa" w:w="110"/>
              <w:bottom w:type="dxa" w:w="70"/>
              <w:right w:type="dxa" w:w="110"/>
            </w:tcMar>
            <w:vAlign w:val="top"/>
          </w:tcPr>
          <w:p>
            <w:hyperlink w:history="1" r:id="rIdmpy0wm8d56fkrtjnrp_dl">
              <w:r>
                <w:rPr>
                  <w:rStyle w:val="Hyperlink"/>
                  <w:rFonts w:ascii="Calibri" w:cs="Calibri" w:eastAsia="Calibri" w:hAnsi="Calibri"/>
                  <w:sz w:val="15"/>
                  <w:szCs w:val="15"/>
                </w:rPr>
                <w:t xml:space="preserve">www.amazon.com/Best-Sellers-Economic-History/zgbs/digital-text/1548560…</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Social &amp; Cultural History (Kindle)</w:t>
            </w:r>
          </w:p>
        </w:tc>
        <w:tc>
          <w:tcPr>
            <w:tcW w:type="dxa" w:w="5200"/>
            <w:tcMar>
              <w:top w:type="dxa" w:w="70"/>
              <w:left w:type="dxa" w:w="110"/>
              <w:bottom w:type="dxa" w:w="70"/>
              <w:right w:type="dxa" w:w="110"/>
            </w:tcMar>
            <w:vAlign w:val="top"/>
          </w:tcPr>
          <w:p>
            <w:hyperlink w:history="1" r:id="rIdsw7kal2kta7yxm7ja9q0i">
              <w:r>
                <w:rPr>
                  <w:rStyle w:val="Hyperlink"/>
                  <w:rFonts w:ascii="Calibri" w:cs="Calibri" w:eastAsia="Calibri" w:hAnsi="Calibri"/>
                  <w:sz w:val="15"/>
                  <w:szCs w:val="15"/>
                </w:rPr>
                <w:t xml:space="preserve">www.amazon.com/Best-Sellers-Social-Cultural-History/zgbs/digital-text/…</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Islamic History (Kindle)</w:t>
            </w:r>
          </w:p>
        </w:tc>
        <w:tc>
          <w:tcPr>
            <w:tcW w:type="dxa" w:w="5200"/>
            <w:tcMar>
              <w:top w:type="dxa" w:w="70"/>
              <w:left w:type="dxa" w:w="110"/>
              <w:bottom w:type="dxa" w:w="70"/>
              <w:right w:type="dxa" w:w="110"/>
            </w:tcMar>
            <w:vAlign w:val="top"/>
          </w:tcPr>
          <w:p>
            <w:hyperlink w:history="1" r:id="rIdqj08xrjpgm1xtyplr4e5v">
              <w:r>
                <w:rPr>
                  <w:rStyle w:val="Hyperlink"/>
                  <w:rFonts w:ascii="Calibri" w:cs="Calibri" w:eastAsia="Calibri" w:hAnsi="Calibri"/>
                  <w:sz w:val="15"/>
                  <w:szCs w:val="15"/>
                </w:rPr>
                <w:t xml:space="preserve">us.amazon.com/Best-Sellers-Islamic-History/zgbs/digital-text/158446011</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Medieval History (Books; label taken from the page URL)</w:t>
            </w:r>
          </w:p>
        </w:tc>
        <w:tc>
          <w:tcPr>
            <w:tcW w:type="dxa" w:w="5200"/>
            <w:tcMar>
              <w:top w:type="dxa" w:w="70"/>
              <w:left w:type="dxa" w:w="110"/>
              <w:bottom w:type="dxa" w:w="70"/>
              <w:right w:type="dxa" w:w="110"/>
            </w:tcMar>
            <w:vAlign w:val="top"/>
          </w:tcPr>
          <w:p>
            <w:hyperlink w:history="1" r:id="rId5rzahkogjtxjtgi4c0p8a">
              <w:r>
                <w:rPr>
                  <w:rStyle w:val="Hyperlink"/>
                  <w:rFonts w:ascii="Calibri" w:cs="Calibri" w:eastAsia="Calibri" w:hAnsi="Calibri"/>
                  <w:sz w:val="15"/>
                  <w:szCs w:val="15"/>
                </w:rPr>
                <w:t xml:space="preserve">www.amazon.com/Best-Sellers-Books-Medieval-History/zgbs/books/5040</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European History (Books)</w:t>
            </w:r>
          </w:p>
        </w:tc>
        <w:tc>
          <w:tcPr>
            <w:tcW w:type="dxa" w:w="5200"/>
            <w:tcMar>
              <w:top w:type="dxa" w:w="70"/>
              <w:left w:type="dxa" w:w="110"/>
              <w:bottom w:type="dxa" w:w="70"/>
              <w:right w:type="dxa" w:w="110"/>
            </w:tcMar>
            <w:vAlign w:val="top"/>
          </w:tcPr>
          <w:p>
            <w:hyperlink w:history="1" r:id="rId-ijfmdylxipbg8gbuy3em">
              <w:r>
                <w:rPr>
                  <w:rStyle w:val="Hyperlink"/>
                  <w:rFonts w:ascii="Calibri" w:cs="Calibri" w:eastAsia="Calibri" w:hAnsi="Calibri"/>
                  <w:sz w:val="15"/>
                  <w:szCs w:val="15"/>
                </w:rPr>
                <w:t xml:space="preserve">www.amazon.com/gp/bestsellers/books/4935</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Middle East History (Books)</w:t>
            </w:r>
          </w:p>
        </w:tc>
        <w:tc>
          <w:tcPr>
            <w:tcW w:type="dxa" w:w="5200"/>
            <w:tcMar>
              <w:top w:type="dxa" w:w="70"/>
              <w:left w:type="dxa" w:w="110"/>
              <w:bottom w:type="dxa" w:w="70"/>
              <w:right w:type="dxa" w:w="110"/>
            </w:tcMar>
            <w:vAlign w:val="top"/>
          </w:tcPr>
          <w:p>
            <w:hyperlink w:history="1" r:id="rIdwkiatv6rvwt3u-9bklswx">
              <w:r>
                <w:rPr>
                  <w:rStyle w:val="Hyperlink"/>
                  <w:rFonts w:ascii="Calibri" w:cs="Calibri" w:eastAsia="Calibri" w:hAnsi="Calibri"/>
                  <w:sz w:val="15"/>
                  <w:szCs w:val="15"/>
                </w:rPr>
                <w:t xml:space="preserve">www.amazon.com/gp/bestsellers/books/4995</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Economic History (Books)</w:t>
            </w:r>
          </w:p>
        </w:tc>
        <w:tc>
          <w:tcPr>
            <w:tcW w:type="dxa" w:w="5200"/>
            <w:tcMar>
              <w:top w:type="dxa" w:w="70"/>
              <w:left w:type="dxa" w:w="110"/>
              <w:bottom w:type="dxa" w:w="70"/>
              <w:right w:type="dxa" w:w="110"/>
            </w:tcMar>
            <w:vAlign w:val="top"/>
          </w:tcPr>
          <w:p>
            <w:hyperlink w:history="1" r:id="rIdlr6nrwfvm6czjxnubx5kq">
              <w:r>
                <w:rPr>
                  <w:rStyle w:val="Hyperlink"/>
                  <w:rFonts w:ascii="Calibri" w:cs="Calibri" w:eastAsia="Calibri" w:hAnsi="Calibri"/>
                  <w:sz w:val="15"/>
                  <w:szCs w:val="15"/>
                </w:rPr>
                <w:t xml:space="preserve">us.amazon.com/gp/new-releases/books/2589</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History of Islam (Books)</w:t>
            </w:r>
          </w:p>
        </w:tc>
        <w:tc>
          <w:tcPr>
            <w:tcW w:type="dxa" w:w="5200"/>
            <w:tcMar>
              <w:top w:type="dxa" w:w="70"/>
              <w:left w:type="dxa" w:w="110"/>
              <w:bottom w:type="dxa" w:w="70"/>
              <w:right w:type="dxa" w:w="110"/>
            </w:tcMar>
            <w:vAlign w:val="top"/>
          </w:tcPr>
          <w:p>
            <w:hyperlink w:history="1" r:id="rIdnanrea2xrdzhvw9vh1n0t">
              <w:r>
                <w:rPr>
                  <w:rStyle w:val="Hyperlink"/>
                  <w:rFonts w:ascii="Calibri" w:cs="Calibri" w:eastAsia="Calibri" w:hAnsi="Calibri"/>
                  <w:sz w:val="15"/>
                  <w:szCs w:val="15"/>
                </w:rPr>
                <w:t xml:space="preserve">us.amazon.com/Best-Sellers-History-of-Islam/zgbs/books/15755521</w:t>
              </w:r>
            </w:hyperlink>
          </w:p>
        </w:tc>
      </w:tr>
      <w:tr>
        <w:trPr>
          <w:cantSplit/>
        </w:trPr>
        <w:tc>
          <w:tcPr>
            <w:tcW w:type="dxa" w:w="4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Military History › Medieval filter (Books)</w:t>
            </w:r>
          </w:p>
        </w:tc>
        <w:tc>
          <w:tcPr>
            <w:tcW w:type="dxa" w:w="5200"/>
            <w:tcMar>
              <w:top w:type="dxa" w:w="70"/>
              <w:left w:type="dxa" w:w="110"/>
              <w:bottom w:type="dxa" w:w="70"/>
              <w:right w:type="dxa" w:w="110"/>
            </w:tcMar>
            <w:vAlign w:val="top"/>
          </w:tcPr>
          <w:p>
            <w:hyperlink w:history="1" r:id="rIdalwetusk4tx-uj2p9jq4l">
              <w:r>
                <w:rPr>
                  <w:rStyle w:val="Hyperlink"/>
                  <w:rFonts w:ascii="Calibri" w:cs="Calibri" w:eastAsia="Calibri" w:hAnsi="Calibri"/>
                  <w:sz w:val="15"/>
                  <w:szCs w:val="15"/>
                </w:rPr>
                <w:t xml:space="preserve">www.amazon.com/Military-Medieval-History/s?rh=n%3A5011%2Cp_n_feature_s…</w:t>
              </w:r>
            </w:hyperlink>
          </w:p>
        </w:tc>
      </w:tr>
    </w:tbl>
    <w:p>
      <w:pPr>
        <w:pStyle w:val="Heading2"/>
        <w:keepNext/>
      </w:pPr>
      <w:r>
        <w:t xml:space="preserve">Market and naming references</w:t>
      </w:r>
    </w:p>
    <w:tbl>
      <w:tblPr>
        <w:tblW w:type="dxa" w:w="9500"/>
        <w:tblBorders>
          <w:top w:val="single" w:color="D9DCE1" w:sz="4"/>
          <w:left w:val="single" w:color="D9DCE1" w:sz="4"/>
          <w:bottom w:val="single" w:color="D9DCE1" w:sz="4"/>
          <w:right w:val="single" w:color="D9DCE1" w:sz="4"/>
          <w:insideH w:val="single" w:color="D9DCE1" w:sz="4"/>
          <w:insideV w:val="single" w:color="D9DCE1" w:sz="4"/>
        </w:tblBorders>
        <w:tblLayout w:type="fixed"/>
      </w:tblPr>
      <w:tblGrid>
        <w:gridCol w:w="5300"/>
        <w:gridCol w:w="4200"/>
      </w:tblGrid>
      <w:tr>
        <w:trPr>
          <w:cantSplit/>
          <w:tblHeader/>
        </w:trPr>
        <w:tc>
          <w:tcPr>
            <w:tcW w:type="dxa" w:w="53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Reference</w:t>
            </w:r>
          </w:p>
        </w:tc>
        <w:tc>
          <w:tcPr>
            <w:tcW w:type="dxa" w:w="4200"/>
            <w:shd w:fill="1B2A4A" w:color="auto" w:val="clear"/>
            <w:tcMar>
              <w:top w:type="dxa" w:w="70"/>
              <w:left w:type="dxa" w:w="110"/>
              <w:bottom w:type="dxa" w:w="70"/>
              <w:right w:type="dxa" w:w="110"/>
            </w:tcMar>
            <w:vAlign w:val="top"/>
          </w:tcPr>
          <w:p>
            <w:pPr>
              <w:spacing w:after="40" w:line="264"/>
            </w:pPr>
            <w:r>
              <w:rPr>
                <w:rFonts w:ascii="Calibri" w:cs="Calibri" w:eastAsia="Calibri" w:hAnsi="Calibri"/>
                <w:b/>
                <w:bCs/>
                <w:color w:val="FFFFFF"/>
                <w:sz w:val="17"/>
                <w:szCs w:val="17"/>
              </w:rPr>
              <w:t xml:space="preserve">Link</w:t>
            </w:r>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The Crusades: The Authoritative History of the War for the Holy Land — Thomas Asbridge (Ecco)</w:t>
            </w:r>
          </w:p>
        </w:tc>
        <w:tc>
          <w:tcPr>
            <w:tcW w:type="dxa" w:w="4200"/>
            <w:tcMar>
              <w:top w:type="dxa" w:w="70"/>
              <w:left w:type="dxa" w:w="110"/>
              <w:bottom w:type="dxa" w:w="70"/>
              <w:right w:type="dxa" w:w="110"/>
            </w:tcMar>
            <w:vAlign w:val="top"/>
          </w:tcPr>
          <w:p>
            <w:hyperlink w:history="1" r:id="rIdwpclw8frxipoelhlz5e7j">
              <w:r>
                <w:rPr>
                  <w:rStyle w:val="Hyperlink"/>
                  <w:rFonts w:ascii="Calibri" w:cs="Calibri" w:eastAsia="Calibri" w:hAnsi="Calibri"/>
                  <w:sz w:val="15"/>
                  <w:szCs w:val="15"/>
                </w:rPr>
                <w:t xml:space="preserve">www.amazon.com/Crusades-Authoritative-History-Holy-L…</w:t>
              </w:r>
            </w:hyperlink>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Crusaders: The Epic History of the Wars for the Holy Lands — Dan Jones (Viking)</w:t>
            </w:r>
          </w:p>
        </w:tc>
        <w:tc>
          <w:tcPr>
            <w:tcW w:type="dxa" w:w="4200"/>
            <w:tcMar>
              <w:top w:type="dxa" w:w="70"/>
              <w:left w:type="dxa" w:w="110"/>
              <w:bottom w:type="dxa" w:w="70"/>
              <w:right w:type="dxa" w:w="110"/>
            </w:tcMar>
            <w:vAlign w:val="top"/>
          </w:tcPr>
          <w:p>
            <w:hyperlink w:history="1" r:id="rIdjxgqap5om96zaooy5w97o">
              <w:r>
                <w:rPr>
                  <w:rStyle w:val="Hyperlink"/>
                  <w:rFonts w:ascii="Calibri" w:cs="Calibri" w:eastAsia="Calibri" w:hAnsi="Calibri"/>
                  <w:sz w:val="15"/>
                  <w:szCs w:val="15"/>
                </w:rPr>
                <w:t xml:space="preserve">publishersweekly.com/9780525428312</w:t>
              </w:r>
            </w:hyperlink>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The Concise History of the Crusades (3rd ed.) — Thomas F. Madden (Rowman &amp; Littlefield)</w:t>
            </w:r>
          </w:p>
        </w:tc>
        <w:tc>
          <w:tcPr>
            <w:tcW w:type="dxa" w:w="4200"/>
            <w:tcMar>
              <w:top w:type="dxa" w:w="70"/>
              <w:left w:type="dxa" w:w="110"/>
              <w:bottom w:type="dxa" w:w="70"/>
              <w:right w:type="dxa" w:w="110"/>
            </w:tcMar>
            <w:vAlign w:val="top"/>
          </w:tcPr>
          <w:p>
            <w:hyperlink w:history="1" r:id="rIdcqjt55gsnz-9itbdix7ol">
              <w:r>
                <w:rPr>
                  <w:rStyle w:val="Hyperlink"/>
                  <w:rFonts w:ascii="Calibri" w:cs="Calibri" w:eastAsia="Calibri" w:hAnsi="Calibri"/>
                  <w:sz w:val="15"/>
                  <w:szCs w:val="15"/>
                </w:rPr>
                <w:t xml:space="preserve">www.lehmanns.de/shop/geisteswissenschaften/26610320-…</w:t>
              </w:r>
            </w:hyperlink>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The First Crusade: The Call from the East — Peter Frankopan (Belknap / Harvard)</w:t>
            </w:r>
          </w:p>
        </w:tc>
        <w:tc>
          <w:tcPr>
            <w:tcW w:type="dxa" w:w="4200"/>
            <w:tcMar>
              <w:top w:type="dxa" w:w="70"/>
              <w:left w:type="dxa" w:w="110"/>
              <w:bottom w:type="dxa" w:w="70"/>
              <w:right w:type="dxa" w:w="110"/>
            </w:tcMar>
            <w:vAlign w:val="top"/>
          </w:tcPr>
          <w:p>
            <w:hyperlink w:history="1" r:id="rIdjz9lb8fd0hwvnlhdbrvjg">
              <w:r>
                <w:rPr>
                  <w:rStyle w:val="Hyperlink"/>
                  <w:rFonts w:ascii="Calibri" w:cs="Calibri" w:eastAsia="Calibri" w:hAnsi="Calibri"/>
                  <w:sz w:val="15"/>
                  <w:szCs w:val="15"/>
                </w:rPr>
                <w:t xml:space="preserve">origins.osu.edu/review/restoring-origins-first-crusa…</w:t>
              </w:r>
            </w:hyperlink>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How to Plan a Crusade: Reason and Religious War in the High Middle Ages — Christopher Tyerman (Penguin)</w:t>
            </w:r>
          </w:p>
        </w:tc>
        <w:tc>
          <w:tcPr>
            <w:tcW w:type="dxa" w:w="4200"/>
            <w:tcMar>
              <w:top w:type="dxa" w:w="70"/>
              <w:left w:type="dxa" w:w="110"/>
              <w:bottom w:type="dxa" w:w="70"/>
              <w:right w:type="dxa" w:w="110"/>
            </w:tcMar>
            <w:vAlign w:val="top"/>
          </w:tcPr>
          <w:p>
            <w:hyperlink w:history="1" r:id="rIdnpcwpcuuyvd3lwh_c3crq">
              <w:r>
                <w:rPr>
                  <w:rStyle w:val="Hyperlink"/>
                  <w:rFonts w:ascii="Calibri" w:cs="Calibri" w:eastAsia="Calibri" w:hAnsi="Calibri"/>
                  <w:sz w:val="15"/>
                  <w:szCs w:val="15"/>
                </w:rPr>
                <w:t xml:space="preserve">www.penguin.co.uk/books/181887/how-to-plan-a-crusade</w:t>
              </w:r>
            </w:hyperlink>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Logistics of Warfare in the Age of the Crusades — John H. Pryor, ed. (Routledge)</w:t>
            </w:r>
          </w:p>
        </w:tc>
        <w:tc>
          <w:tcPr>
            <w:tcW w:type="dxa" w:w="4200"/>
            <w:tcMar>
              <w:top w:type="dxa" w:w="70"/>
              <w:left w:type="dxa" w:w="110"/>
              <w:bottom w:type="dxa" w:w="70"/>
              <w:right w:type="dxa" w:w="110"/>
            </w:tcMar>
            <w:vAlign w:val="top"/>
          </w:tcPr>
          <w:p>
            <w:hyperlink w:history="1" r:id="rId-m7co7onhhciet2pwdzwq">
              <w:r>
                <w:rPr>
                  <w:rStyle w:val="Hyperlink"/>
                  <w:rFonts w:ascii="Calibri" w:cs="Calibri" w:eastAsia="Calibri" w:hAnsi="Calibri"/>
                  <w:sz w:val="15"/>
                  <w:szCs w:val="15"/>
                </w:rPr>
                <w:t xml:space="preserve">www.amazon.com/Logistics-Warfare-Crusades-John-Pryor…</w:t>
              </w:r>
            </w:hyperlink>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The Commercial Revolution of the Middle Ages, 950–1350 — Robert S. Lopez (Cambridge University Press)</w:t>
            </w:r>
          </w:p>
        </w:tc>
        <w:tc>
          <w:tcPr>
            <w:tcW w:type="dxa" w:w="4200"/>
            <w:tcMar>
              <w:top w:type="dxa" w:w="70"/>
              <w:left w:type="dxa" w:w="110"/>
              <w:bottom w:type="dxa" w:w="70"/>
              <w:right w:type="dxa" w:w="110"/>
            </w:tcMar>
            <w:vAlign w:val="top"/>
          </w:tcPr>
          <w:p>
            <w:hyperlink w:history="1" r:id="rIdfvhis5ylxexuj3buztmut">
              <w:r>
                <w:rPr>
                  <w:rStyle w:val="Hyperlink"/>
                  <w:rFonts w:ascii="Calibri" w:cs="Calibri" w:eastAsia="Calibri" w:hAnsi="Calibri"/>
                  <w:sz w:val="15"/>
                  <w:szCs w:val="15"/>
                </w:rPr>
                <w:t xml:space="preserve">campusstore.miamioh.edu/commercial-revolution-middle…</w:t>
              </w:r>
            </w:hyperlink>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City of Fortune: How Venice Ruled the Seas — Roger Crowley (Random House)</w:t>
            </w:r>
          </w:p>
        </w:tc>
        <w:tc>
          <w:tcPr>
            <w:tcW w:type="dxa" w:w="4200"/>
            <w:tcMar>
              <w:top w:type="dxa" w:w="70"/>
              <w:left w:type="dxa" w:w="110"/>
              <w:bottom w:type="dxa" w:w="70"/>
              <w:right w:type="dxa" w:w="110"/>
            </w:tcMar>
            <w:vAlign w:val="top"/>
          </w:tcPr>
          <w:p>
            <w:hyperlink w:history="1" r:id="rId97lui5nuw0t4w_yvfnhv3">
              <w:r>
                <w:rPr>
                  <w:rStyle w:val="Hyperlink"/>
                  <w:rFonts w:ascii="Calibri" w:cs="Calibri" w:eastAsia="Calibri" w:hAnsi="Calibri"/>
                  <w:sz w:val="15"/>
                  <w:szCs w:val="15"/>
                </w:rPr>
                <w:t xml:space="preserve">publishersweekly.com/9781400068203</w:t>
              </w:r>
            </w:hyperlink>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The Race for Paradise: An Islamic History of the Crusades — Paul M. Cobb (Oxford University Press)</w:t>
            </w:r>
          </w:p>
        </w:tc>
        <w:tc>
          <w:tcPr>
            <w:tcW w:type="dxa" w:w="4200"/>
            <w:tcMar>
              <w:top w:type="dxa" w:w="70"/>
              <w:left w:type="dxa" w:w="110"/>
              <w:bottom w:type="dxa" w:w="70"/>
              <w:right w:type="dxa" w:w="110"/>
            </w:tcMar>
            <w:vAlign w:val="top"/>
          </w:tcPr>
          <w:p>
            <w:hyperlink w:history="1" r:id="rIdlfsp7hwzxa8sx-otgo6ns">
              <w:r>
                <w:rPr>
                  <w:rStyle w:val="Hyperlink"/>
                  <w:rFonts w:ascii="Calibri" w:cs="Calibri" w:eastAsia="Calibri" w:hAnsi="Calibri"/>
                  <w:sz w:val="15"/>
                  <w:szCs w:val="15"/>
                </w:rPr>
                <w:t xml:space="preserve">www.publishersweekly.com/9780199358113</w:t>
              </w:r>
            </w:hyperlink>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The Crusades Uncovered — Adrian J. Boas (Arc Humanities Press)</w:t>
            </w:r>
          </w:p>
        </w:tc>
        <w:tc>
          <w:tcPr>
            <w:tcW w:type="dxa" w:w="4200"/>
            <w:tcMar>
              <w:top w:type="dxa" w:w="70"/>
              <w:left w:type="dxa" w:w="110"/>
              <w:bottom w:type="dxa" w:w="70"/>
              <w:right w:type="dxa" w:w="110"/>
            </w:tcMar>
            <w:vAlign w:val="top"/>
          </w:tcPr>
          <w:p>
            <w:hyperlink w:history="1" r:id="rIdsau2ww_mit6-pjy6i7yv7">
              <w:r>
                <w:rPr>
                  <w:rStyle w:val="Hyperlink"/>
                  <w:rFonts w:ascii="Calibri" w:cs="Calibri" w:eastAsia="Calibri" w:hAnsi="Calibri"/>
                  <w:sz w:val="15"/>
                  <w:szCs w:val="15"/>
                </w:rPr>
                <w:t xml:space="preserve">search.ub.tum.de/vufind/Record/DE-604.BV048682316</w:t>
              </w:r>
            </w:hyperlink>
          </w:p>
        </w:tc>
      </w:tr>
      <w:tr>
        <w:trPr>
          <w:cantSplit/>
        </w:trPr>
        <w:tc>
          <w:tcPr>
            <w:tcW w:type="dxa" w:w="5300"/>
            <w:tcMar>
              <w:top w:type="dxa" w:w="70"/>
              <w:left w:type="dxa" w:w="110"/>
              <w:bottom w:type="dxa" w:w="70"/>
              <w:right w:type="dxa" w:w="110"/>
            </w:tcMar>
            <w:vAlign w:val="top"/>
          </w:tcPr>
          <w:p>
            <w:pPr>
              <w:spacing w:after="40" w:line="264"/>
            </w:pPr>
            <w:r>
              <w:rPr>
                <w:rFonts w:ascii="Calibri" w:cs="Calibri" w:eastAsia="Calibri" w:hAnsi="Calibri"/>
                <w:color w:val="333A40"/>
                <w:sz w:val="17"/>
                <w:szCs w:val="17"/>
              </w:rPr>
              <w:t xml:space="preserve">Crusading in Context (book series), Boydell &amp; Brewer — checked to avoid a series-name conflict</w:t>
            </w:r>
          </w:p>
        </w:tc>
        <w:tc>
          <w:tcPr>
            <w:tcW w:type="dxa" w:w="4200"/>
            <w:tcMar>
              <w:top w:type="dxa" w:w="70"/>
              <w:left w:type="dxa" w:w="110"/>
              <w:bottom w:type="dxa" w:w="70"/>
              <w:right w:type="dxa" w:w="110"/>
            </w:tcMar>
            <w:vAlign w:val="top"/>
          </w:tcPr>
          <w:p>
            <w:hyperlink w:history="1" r:id="rIdzsltf4qtk0zp8zney913x">
              <w:r>
                <w:rPr>
                  <w:rStyle w:val="Hyperlink"/>
                  <w:rFonts w:ascii="Calibri" w:cs="Calibri" w:eastAsia="Calibri" w:hAnsi="Calibri"/>
                  <w:sz w:val="15"/>
                  <w:szCs w:val="15"/>
                </w:rPr>
                <w:t xml:space="preserve">boydellandbrewer.com/books/series/crusading-in-conte…</w:t>
              </w:r>
            </w:hyperlink>
          </w:p>
        </w:tc>
      </w:tr>
    </w:tbl>
    <w:p>
      <w:pPr>
        <w:pStyle w:val="Heading2"/>
        <w:keepNext/>
      </w:pPr>
      <w:r>
        <w:t xml:space="preserve">Third-party guidance used only for corroboration</w:t>
      </w:r>
    </w:p>
    <w:p>
      <w:pPr>
        <w:spacing w:after="120" w:before="0" w:line="288"/>
      </w:pPr>
      <w:r>
        <w:rPr>
          <w:rFonts w:ascii="Calibri" w:cs="Calibri" w:eastAsia="Calibri" w:hAnsi="Calibri"/>
          <w:color w:val="333A40"/>
          <w:sz w:val="18"/>
          <w:szCs w:val="18"/>
        </w:rPr>
        <w:t xml:space="preserve">Vappingo, “The 7 KDP Backend Keyword Fields Explained” and “How to Use HTML Formatting in KDP Book Descriptions”, and Reedsy, “How to Choose Keywords for Your Amazon KDP Book”. These were used only to corroborate the 50-character field limit and common HTML practice, not as policy sources.</w:t>
      </w:r>
    </w:p>
    <w:p>
      <w:pPr>
        <w:pStyle w:val="Heading2"/>
        <w:keepNext/>
      </w:pPr>
      <w:r>
        <w:t xml:space="preserve">Manuscripts reviewed</w:t>
      </w:r>
    </w:p>
    <w:p>
      <w:pPr>
        <w:spacing w:after="120" w:before="0" w:line="288"/>
      </w:pPr>
      <w:r>
        <w:rPr>
          <w:rFonts w:ascii="Calibri" w:cs="Calibri" w:eastAsia="Calibri" w:hAnsi="Calibri"/>
          <w:color w:val="333A40"/>
          <w:sz w:val="18"/>
          <w:szCs w:val="18"/>
        </w:rPr>
        <w:t xml:space="preserve">The three manuscripts were read in full: “The Crusades. Origin, Society and Politics” (title page: “Society, Politics and the Origin of the Crusades”), “The Crusades. Economy in Motion: Logistics, Finance and Trade” (title page: “The Economy in Motion during the Crusades. Logistics, Finance and Trade”) and “The Crusades. Collision, Integration and Institutions”. The image list supplied with them was also reviewed. All statements about content, themes and proportions come from these files.</w:t>
      </w:r>
    </w:p>
    <w:sectPr>
      <w:headerReference w:type="default" r:id="rId7"/>
      <w:headerReference w:type="first" r:id="rId8"/>
      <w:footerReference w:type="default" r:id="rId9"/>
      <w:footerReference w:type="first" r:id="rId10"/>
      <w:pgSz w:w="11906" w:h="16838" w:orient="portrait"/>
      <w:pgMar w:top="1300" w:right="1203" w:bottom="1200" w:left="1203"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4" w:space="4"/>
      </w:pBdr>
      <w:jc w:val="right"/>
    </w:pPr>
    <w:r>
      <w:rPr>
        <w:rFonts w:ascii="Calibri" w:cs="Calibri" w:eastAsia="Calibri" w:hAnsi="Calibri"/>
        <w:b/>
        <w:bCs/>
        <w:color w:val="1B2A4A"/>
        <w:spacing w:val="60"/>
        <w:sz w:val="15"/>
        <w:szCs w:val="15"/>
      </w:rPr>
      <w:t xml:space="preserve">ELITE PUBLISHING</w:t>
    </w:r>
    <w:r>
      <w:rPr>
        <w:rFonts w:ascii="Calibri" w:cs="Calibri" w:eastAsia="Calibri" w:hAnsi="Calibri"/>
        <w:color w:val="6B7280"/>
        <w:sz w:val="15"/>
        <w:szCs w:val="15"/>
      </w:rPr>
      <w:t xml:space="preserve">   ·   David R. Bardi — The Crusades: Amazon Metadata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B08D5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6" w:space="6"/>
      </w:pBdr>
      <w:spacing w:after="200" w:before="0"/>
      <w:outlineLvl w:val="0"/>
    </w:pPr>
    <w:rPr>
      <w:rFonts w:ascii="Cambria" w:cs="Cambria" w:eastAsia="Cambria" w:hAnsi="Cambria"/>
      <w:color w:val="1B2A4A"/>
      <w:sz w:val="36"/>
      <w:szCs w:val="36"/>
    </w:rPr>
  </w:style>
  <w:style w:type="paragraph" w:styleId="Heading2">
    <w:name w:val="Heading 2"/>
    <w:basedOn w:val="Normal"/>
    <w:next w:val="Normal"/>
    <w:qFormat/>
    <w:pPr>
      <w:spacing w:after="120" w:before="300"/>
      <w:outlineLvl w:val="1"/>
    </w:pPr>
    <w:rPr>
      <w:rFonts w:ascii="Cambria" w:cs="Cambria" w:eastAsia="Cambria" w:hAnsi="Cambria"/>
      <w:color w:val="1B2A4A"/>
      <w:sz w:val="26"/>
      <w:szCs w:val="26"/>
    </w:rPr>
  </w:style>
  <w:style w:type="paragraph" w:styleId="Heading3">
    <w:name w:val="Heading 3"/>
    <w:basedOn w:val="Normal"/>
    <w:next w:val="Normal"/>
    <w:qFormat/>
    <w:pPr>
      <w:spacing w:after="90" w:before="220"/>
      <w:outlineLvl w:val="2"/>
    </w:pPr>
    <w:rPr>
      <w:rFonts w:ascii="Calibri" w:cs="Calibri" w:eastAsia="Calibri" w:hAnsi="Calibri"/>
      <w:b/>
      <w:bCs/>
      <w:caps/>
      <w:color w:val="B08D57"/>
      <w:spacing w:val="20"/>
      <w:sz w:val="20"/>
      <w:szCs w:val="20"/>
    </w:rPr>
  </w:style>
  <w:style w:type="character" w:styleId="Hyperlink">
    <w:name w:val="Hyperlink"/>
    <w:uiPriority w:val="99"/>
    <w:unhideWhenUsed/>
    <w:rPr>
      <w:color w:val="2F5597"/>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jaxkatpq_jic40d5ikfkb" Type="http://schemas.openxmlformats.org/officeDocument/2006/relationships/hyperlink" Target="https://www.amazon.com/Crusades-Authoritative-History-Holy-Land/dp/0060787295" TargetMode="External"/><Relationship Id="rIddompvx0vsqv2prn--p6i6" Type="http://schemas.openxmlformats.org/officeDocument/2006/relationships/hyperlink" Target="https://publishersweekly.com/9780525428312" TargetMode="External"/><Relationship Id="rIdoivn-0r9ge-g6tuzdusea" Type="http://schemas.openxmlformats.org/officeDocument/2006/relationships/hyperlink" Target="https://www.lehmanns.de/shop/geisteswissenschaften/26610320-9781442215757-the-concise-history-of-the-crusades" TargetMode="External"/><Relationship Id="rIdpazyoevzgb7-dkatvs-kv" Type="http://schemas.openxmlformats.org/officeDocument/2006/relationships/hyperlink" Target="https://origins.osu.edu/review/restoring-origins-first-crusade-medieval-chronicle-written-twenty-first-century" TargetMode="External"/><Relationship Id="rIdfnv-ga-fj-q3dvehngfdc" Type="http://schemas.openxmlformats.org/officeDocument/2006/relationships/hyperlink" Target="https://www.penguin.co.uk/books/181887/how-to-plan-a-crusade" TargetMode="External"/><Relationship Id="rIdsdxdcminneic6cll98tz8" Type="http://schemas.openxmlformats.org/officeDocument/2006/relationships/hyperlink" Target="https://www.amazon.com/Logistics-Warfare-Crusades-John-Pryor-ebook/dp/B01NCIE4OZ" TargetMode="External"/><Relationship Id="rIdapqub_lvezm2f9veu4o1x" Type="http://schemas.openxmlformats.org/officeDocument/2006/relationships/hyperlink" Target="https://campusstore.miamioh.edu/commercial-revolution-middle-ages-9501350/bk/9780521290463" TargetMode="External"/><Relationship Id="rIdaxprznpbdt7tcnucmeppk" Type="http://schemas.openxmlformats.org/officeDocument/2006/relationships/hyperlink" Target="https://publishersweekly.com/9781400068203" TargetMode="External"/><Relationship Id="rIdtrlxam9x0fuorys9tou0i" Type="http://schemas.openxmlformats.org/officeDocument/2006/relationships/hyperlink" Target="https://www.publishersweekly.com/9780199358113" TargetMode="External"/><Relationship Id="rId1rhk9zfokvlhpfurh_w-e" Type="http://schemas.openxmlformats.org/officeDocument/2006/relationships/hyperlink" Target="https://search.ub.tum.de/vufind/Record/DE-604.BV048682316" TargetMode="External"/><Relationship Id="rIdt8diqppqcant2dxzibcrr" Type="http://schemas.openxmlformats.org/officeDocument/2006/relationships/hyperlink" Target="https://kdp.amazon.com/en_US/help/topic/G201097560" TargetMode="External"/><Relationship Id="rIdvyidlie29jfown0xd2glx" Type="http://schemas.openxmlformats.org/officeDocument/2006/relationships/hyperlink" Target="https://kdp.amazon.com/en_US/help/topic/G201298500" TargetMode="External"/><Relationship Id="rIdgctkotiubddw345u8oy-n" Type="http://schemas.openxmlformats.org/officeDocument/2006/relationships/hyperlink" Target="https://kdp.amazon.com/en_US/help/topic/G200652170" TargetMode="External"/><Relationship Id="rIdqxntzm5g0hucf2ek5ny31" Type="http://schemas.openxmlformats.org/officeDocument/2006/relationships/hyperlink" Target="https://kdp.amazon.com/en_US/help/topic/G201189630" TargetMode="External"/><Relationship Id="rIdcniwgxteetmtqapi03iqg" Type="http://schemas.openxmlformats.org/officeDocument/2006/relationships/hyperlink" Target="https://kdp.amazon.com/en_US/help/topic/GC4VASCGNQP6LQ7L" TargetMode="External"/><Relationship Id="rIdasndorc0zsfiuiezbnzfo" Type="http://schemas.openxmlformats.org/officeDocument/2006/relationships/hyperlink" Target="https://kdp.amazon.com/en_US/help/topic/G200952510" TargetMode="External"/><Relationship Id="rId9_kc0objjbihyrmdeovb5" Type="http://schemas.openxmlformats.org/officeDocument/2006/relationships/hyperlink" Target="https://kdp.amazon.com/en_US/help/topic/G200652220" TargetMode="External"/><Relationship Id="rId97b1sjuqlcf7lrdvcyxa5" Type="http://schemas.openxmlformats.org/officeDocument/2006/relationships/hyperlink" Target="https://www.amazon.com/Best-Sellers-History-of-Medieval-Europe/zgbs/digital-text/156691011" TargetMode="External"/><Relationship Id="rIdipmkjd6mt0vsuhuuz5pin" Type="http://schemas.openxmlformats.org/officeDocument/2006/relationships/hyperlink" Target="https://www.amazon.com/Best-Sellers-Kindle-Store-Medieval-Military-History/zgbs/digital-text/14530444011" TargetMode="External"/><Relationship Id="rId1gl4747jl8p0xi6srrpk-" Type="http://schemas.openxmlformats.org/officeDocument/2006/relationships/hyperlink" Target="https://www.amazon.com/Best-Sellers-Christian-Church-History/zgbs/digital-text/6361623011" TargetMode="External"/><Relationship Id="rIdmpy0wm8d56fkrtjnrp_dl" Type="http://schemas.openxmlformats.org/officeDocument/2006/relationships/hyperlink" Target="https://www.amazon.com/Best-Sellers-Economic-History/zgbs/digital-text/154856011" TargetMode="External"/><Relationship Id="rIdsw7kal2kta7yxm7ja9q0i" Type="http://schemas.openxmlformats.org/officeDocument/2006/relationships/hyperlink" Target="https://www.amazon.com/Best-Sellers-Social-Cultural-History/zgbs/digital-text/10704239011" TargetMode="External"/><Relationship Id="rIdqj08xrjpgm1xtyplr4e5v" Type="http://schemas.openxmlformats.org/officeDocument/2006/relationships/hyperlink" Target="https://us.amazon.com/Best-Sellers-Islamic-History/zgbs/digital-text/158446011" TargetMode="External"/><Relationship Id="rId5rzahkogjtxjtgi4c0p8a" Type="http://schemas.openxmlformats.org/officeDocument/2006/relationships/hyperlink" Target="https://www.amazon.com/Best-Sellers-Books-Medieval-History/zgbs/books/5040" TargetMode="External"/><Relationship Id="rId-ijfmdylxipbg8gbuy3em" Type="http://schemas.openxmlformats.org/officeDocument/2006/relationships/hyperlink" Target="https://www.amazon.com/gp/bestsellers/books/4935" TargetMode="External"/><Relationship Id="rIdwkiatv6rvwt3u-9bklswx" Type="http://schemas.openxmlformats.org/officeDocument/2006/relationships/hyperlink" Target="https://www.amazon.com/gp/bestsellers/books/4995" TargetMode="External"/><Relationship Id="rIdlr6nrwfvm6czjxnubx5kq" Type="http://schemas.openxmlformats.org/officeDocument/2006/relationships/hyperlink" Target="https://us.amazon.com/gp/new-releases/books/2589" TargetMode="External"/><Relationship Id="rIdnanrea2xrdzhvw9vh1n0t" Type="http://schemas.openxmlformats.org/officeDocument/2006/relationships/hyperlink" Target="https://us.amazon.com/Best-Sellers-History-of-Islam/zgbs/books/15755521" TargetMode="External"/><Relationship Id="rIdalwetusk4tx-uj2p9jq4l" Type="http://schemas.openxmlformats.org/officeDocument/2006/relationships/hyperlink" Target="https://www.amazon.com/Military-Medieval-History/s?rh=n%3A5011%2Cp_n_feature_seventeen_browse-bin%3A6343243011" TargetMode="External"/><Relationship Id="rIdwpclw8frxipoelhlz5e7j" Type="http://schemas.openxmlformats.org/officeDocument/2006/relationships/hyperlink" Target="https://www.amazon.com/Crusades-Authoritative-History-Holy-Land/dp/0060787295" TargetMode="External"/><Relationship Id="rIdjxgqap5om96zaooy5w97o" Type="http://schemas.openxmlformats.org/officeDocument/2006/relationships/hyperlink" Target="https://publishersweekly.com/9780525428312" TargetMode="External"/><Relationship Id="rIdcqjt55gsnz-9itbdix7ol" Type="http://schemas.openxmlformats.org/officeDocument/2006/relationships/hyperlink" Target="https://www.lehmanns.de/shop/geisteswissenschaften/26610320-9781442215757-the-concise-history-of-the-crusades" TargetMode="External"/><Relationship Id="rIdjz9lb8fd0hwvnlhdbrvjg" Type="http://schemas.openxmlformats.org/officeDocument/2006/relationships/hyperlink" Target="https://origins.osu.edu/review/restoring-origins-first-crusade-medieval-chronicle-written-twenty-first-century" TargetMode="External"/><Relationship Id="rIdnpcwpcuuyvd3lwh_c3crq" Type="http://schemas.openxmlformats.org/officeDocument/2006/relationships/hyperlink" Target="https://www.penguin.co.uk/books/181887/how-to-plan-a-crusade" TargetMode="External"/><Relationship Id="rId-m7co7onhhciet2pwdzwq" Type="http://schemas.openxmlformats.org/officeDocument/2006/relationships/hyperlink" Target="https://www.amazon.com/Logistics-Warfare-Crusades-John-Pryor-ebook/dp/B01NCIE4OZ" TargetMode="External"/><Relationship Id="rIdfvhis5ylxexuj3buztmut" Type="http://schemas.openxmlformats.org/officeDocument/2006/relationships/hyperlink" Target="https://campusstore.miamioh.edu/commercial-revolution-middle-ages-9501350/bk/9780521290463" TargetMode="External"/><Relationship Id="rId97lui5nuw0t4w_yvfnhv3" Type="http://schemas.openxmlformats.org/officeDocument/2006/relationships/hyperlink" Target="https://publishersweekly.com/9781400068203" TargetMode="External"/><Relationship Id="rIdlfsp7hwzxa8sx-otgo6ns" Type="http://schemas.openxmlformats.org/officeDocument/2006/relationships/hyperlink" Target="https://www.publishersweekly.com/9780199358113" TargetMode="External"/><Relationship Id="rIdsau2ww_mit6-pjy6i7yv7" Type="http://schemas.openxmlformats.org/officeDocument/2006/relationships/hyperlink" Target="https://search.ub.tum.de/vufind/Record/DE-604.BV048682316" TargetMode="External"/><Relationship Id="rIdzsltf4qtk0zp8zney913x" Type="http://schemas.openxmlformats.org/officeDocument/2006/relationships/hyperlink" Target="https://boydellandbrewer.com/books/series/crusading-in-context/" TargetMode="External"/><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Crusades — Amazon Metadata Report</dc:title>
  <dc:creator>Elite Publishing</dc:creator>
  <dc:description>Copy, categories, keywords, title and subtitle for David R. Bardi's Crusades trilogy</dc:description>
  <cp:lastModifiedBy>Un-named</cp:lastModifiedBy>
  <cp:revision>1</cp:revision>
  <dcterms:created xsi:type="dcterms:W3CDTF">2026-10-22T10:46:16.329Z</dcterms:created>
  <dcterms:modified xsi:type="dcterms:W3CDTF">2026-10-22T10:46:16.329Z</dcterms:modified>
</cp:coreProperties>
</file>

<file path=docProps/custom.xml><?xml version="1.0" encoding="utf-8"?>
<Properties xmlns="http://schemas.openxmlformats.org/officeDocument/2006/custom-properties" xmlns:vt="http://schemas.openxmlformats.org/officeDocument/2006/docPropsVTypes"/>
</file>