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A7A70"/>
          <w:sz w:val="56"/>
          <w:szCs w:val="56"/>
        </w:rPr>
        <w:t xml:space="preserve">🏠 Family Hub</w:t>
      </w:r>
    </w:p>
    <w:p>
      <w:pPr>
        <w:spacing w:after="80" w:before="0"/>
      </w:pPr>
      <w:r>
        <w:rPr>
          <w:rFonts w:ascii="Arial" w:cs="Arial" w:eastAsia="Arial" w:hAnsi="Arial"/>
          <w:b/>
          <w:bCs/>
          <w:color w:val="0F2D38"/>
          <w:sz w:val="36"/>
          <w:szCs w:val="36"/>
        </w:rPr>
        <w:t xml:space="preserve">Security &amp; Compliance Register</w:t>
      </w:r>
    </w:p>
    <w:p>
      <w:pPr>
        <w:spacing w:after="40" w:before="0"/>
      </w:pPr>
      <w:r>
        <w:rPr>
          <w:rFonts w:ascii="Arial" w:cs="Arial" w:eastAsia="Arial" w:hAnsi="Arial"/>
          <w:color w:val="666666"/>
          <w:sz w:val="22"/>
          <w:szCs w:val="22"/>
        </w:rPr>
        <w:t xml:space="preserve">Version 1.0  ·  June 2026  ·  Giuseppe Lucarelli</w:t>
      </w:r>
    </w:p>
    <w:p>
      <w:pPr>
        <w:spacing w:after="600" w:before="0"/>
      </w:pPr>
      <w:r>
        <w:rPr>
          <w:rFonts w:ascii="Arial" w:cs="Arial" w:eastAsia="Arial" w:hAnsi="Arial"/>
          <w:b/>
          <w:bCs/>
          <w:color w:val="E07070"/>
          <w:sz w:val="20"/>
          <w:szCs w:val="20"/>
        </w:rPr>
        <w:t xml:space="preserve">Confidential — Internal Use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DDDDD" w:sz="1"/>
              <w:left w:val="single" w:color="DDDDDD" w:sz="1"/>
              <w:bottom w:val="single" w:color="DDDDDD" w:sz="1"/>
              <w:right w:val="single" w:color="DDDDDD" w:sz="1"/>
            </w:tcBorders>
            <w:shd w:fill="E8F5E9" w:val="clear"/>
            <w:tcMar>
              <w:top w:type="dxa" w:w="80"/>
              <w:left w:type="dxa" w:w="100"/>
              <w:bottom w:type="dxa" w:w="80"/>
              <w:right w:type="dxa" w:w="100"/>
            </w:tcMar>
          </w:tcPr>
          <w:p>
            <w:pPr>
              <w:jc w:val="center"/>
            </w:pPr>
            <w:r>
              <w:rPr>
                <w:rFonts w:ascii="Arial" w:cs="Arial" w:eastAsia="Arial" w:hAnsi="Arial"/>
                <w:b/>
                <w:bCs/>
                <w:color w:val="2E7D32"/>
                <w:sz w:val="18"/>
                <w:szCs w:val="18"/>
              </w:rPr>
              <w:t xml:space="preserve">Implemented ✅</w:t>
            </w:r>
          </w:p>
        </w:tc>
        <w:tc>
          <w:tcPr>
            <w:tcW w:type="dxa" w:w="1805"/>
            <w:tcBorders>
              <w:top w:val="single" w:color="DDDDDD" w:sz="1"/>
              <w:left w:val="single" w:color="DDDDDD" w:sz="1"/>
              <w:bottom w:val="single" w:color="DDDDDD" w:sz="1"/>
              <w:right w:val="single" w:color="DDDDDD" w:sz="1"/>
            </w:tcBorders>
            <w:shd w:fill="FDF3DC" w:val="clear"/>
            <w:tcMar>
              <w:top w:type="dxa" w:w="80"/>
              <w:left w:type="dxa" w:w="100"/>
              <w:bottom w:type="dxa" w:w="80"/>
              <w:right w:type="dxa" w:w="100"/>
            </w:tcMar>
          </w:tcPr>
          <w:p>
            <w:pPr>
              <w:jc w:val="center"/>
            </w:pPr>
            <w:r>
              <w:rPr>
                <w:rFonts w:ascii="Arial" w:cs="Arial" w:eastAsia="Arial" w:hAnsi="Arial"/>
                <w:b/>
                <w:bCs/>
                <w:color w:val="E8A838"/>
                <w:sz w:val="18"/>
                <w:szCs w:val="18"/>
              </w:rPr>
              <w:t xml:space="preserve">In Progress 🔄</w:t>
            </w:r>
          </w:p>
        </w:tc>
        <w:tc>
          <w:tcPr>
            <w:tcW w:type="dxa" w:w="1805"/>
            <w:tcBorders>
              <w:top w:val="single" w:color="DDDDDD" w:sz="1"/>
              <w:left w:val="single" w:color="DDDDDD" w:sz="1"/>
              <w:bottom w:val="single" w:color="DDDDDD" w:sz="1"/>
              <w:right w:val="single" w:color="DDDDDD" w:sz="1"/>
            </w:tcBorders>
            <w:shd w:fill="E8EEF0" w:val="clear"/>
            <w:tcMar>
              <w:top w:type="dxa" w:w="80"/>
              <w:left w:type="dxa" w:w="100"/>
              <w:bottom w:type="dxa" w:w="80"/>
              <w:right w:type="dxa" w:w="100"/>
            </w:tcMar>
          </w:tcPr>
          <w:p>
            <w:pPr>
              <w:jc w:val="center"/>
            </w:pPr>
            <w:r>
              <w:rPr>
                <w:rFonts w:ascii="Arial" w:cs="Arial" w:eastAsia="Arial" w:hAnsi="Arial"/>
                <w:b/>
                <w:bCs/>
                <w:color w:val="0F2D38"/>
                <w:sz w:val="18"/>
                <w:szCs w:val="18"/>
              </w:rPr>
              <w:t xml:space="preserve">Planned 📋</w:t>
            </w:r>
          </w:p>
        </w:tc>
        <w:tc>
          <w:tcPr>
            <w:tcW w:type="dxa" w:w="1805"/>
            <w:tcBorders>
              <w:top w:val="single" w:color="DDDDDD" w:sz="1"/>
              <w:left w:val="single" w:color="DDDDDD" w:sz="1"/>
              <w:bottom w:val="single" w:color="DDDDDD" w:sz="1"/>
              <w:right w:val="single" w:color="DDDDDD" w:sz="1"/>
            </w:tcBorders>
            <w:shd w:fill="E6F4F2" w:val="clear"/>
            <w:tcMar>
              <w:top w:type="dxa" w:w="80"/>
              <w:left w:type="dxa" w:w="100"/>
              <w:bottom w:type="dxa" w:w="80"/>
              <w:right w:type="dxa" w:w="100"/>
            </w:tcMar>
          </w:tcPr>
          <w:p>
            <w:pPr>
              <w:jc w:val="center"/>
            </w:pPr>
            <w:r>
              <w:rPr>
                <w:rFonts w:ascii="Arial" w:cs="Arial" w:eastAsia="Arial" w:hAnsi="Arial"/>
                <w:b/>
                <w:bCs/>
                <w:color w:val="1A7A70"/>
                <w:sz w:val="18"/>
                <w:szCs w:val="18"/>
              </w:rPr>
              <w:t xml:space="preserve">Phase 2 🔜</w:t>
            </w:r>
          </w:p>
        </w:tc>
        <w:tc>
          <w:tcPr>
            <w:tcW w:type="dxa" w:w="1805"/>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888888"/>
                <w:sz w:val="18"/>
                <w:szCs w:val="18"/>
              </w:rPr>
              <w:t xml:space="preserve">Not Started ⏳</w:t>
            </w:r>
          </w:p>
        </w:tc>
      </w:tr>
    </w:tbl>
    <w:p>
      <w:pPr>
        <w:spacing w:after="0" w:before="0"/>
      </w:pPr>
      <w:r>
        <w:t xml:space="preserve"/>
      </w:r>
    </w:p>
    <w:p>
      <w:pPr>
        <w:spacing w:after="0" w:before="0"/>
      </w:pPr>
      <w:r>
        <w:t xml:space="preserve"/>
      </w:r>
    </w:p>
    <w:p>
      <w:r>
        <w:br w:type="page"/>
      </w:r>
    </w:p>
    <w:p>
      <w:pPr>
        <w:pBdr>
          <w:bottom w:val="single" w:color="1A7A70" w:sz="8" w:space="4"/>
        </w:pBdr>
        <w:spacing w:after="120" w:before="400"/>
      </w:pPr>
      <w:r>
        <w:rPr>
          <w:rFonts w:ascii="Arial" w:cs="Arial" w:eastAsia="Arial" w:hAnsi="Arial"/>
          <w:b/>
          <w:bCs/>
          <w:color w:val="0F2D38"/>
          <w:sz w:val="32"/>
          <w:szCs w:val="32"/>
        </w:rPr>
        <w:t xml:space="preserve">1. Purpose &amp; Scope</w:t>
      </w:r>
    </w:p>
    <w:p>
      <w:pPr>
        <w:spacing w:after="100" w:before="60"/>
      </w:pPr>
      <w:r>
        <w:rPr>
          <w:rFonts w:ascii="Arial" w:cs="Arial" w:eastAsia="Arial" w:hAnsi="Arial"/>
          <w:color w:val="111111"/>
          <w:sz w:val="22"/>
          <w:szCs w:val="22"/>
        </w:rPr>
        <w:t xml:space="preserve">This register documents the security and compliance posture of the Family Hub application as of June 2026. It serves three purposes: to provide transparency about how personal data is handled; to demonstrate intent and early action on compliance to any future auditors, partners, or buyers; and to track progress toward commercial readiness.</w:t>
      </w:r>
    </w:p>
    <w:p>
      <w:pPr>
        <w:spacing w:after="0" w:before="0"/>
      </w:pPr>
      <w:r>
        <w:t xml:space="preserve"/>
      </w:r>
    </w:p>
    <w:p>
      <w:pPr>
        <w:spacing w:after="100" w:before="60"/>
      </w:pPr>
      <w:r>
        <w:rPr>
          <w:rFonts w:ascii="Arial" w:cs="Arial" w:eastAsia="Arial" w:hAnsi="Arial"/>
          <w:i/>
          <w:iCs/>
          <w:color w:val="111111"/>
          <w:sz w:val="22"/>
          <w:szCs w:val="22"/>
        </w:rPr>
        <w:t xml:space="preserve">Family Hub is a Progressive Web Application (PWA) for household coordination — shared calendar, task management, shopping lists, meal planning, and household projects. It is currently in private use by the Lucarelli-Ross family and under active development toward potential commercial release.</w:t>
      </w:r>
    </w:p>
    <w:p>
      <w:pPr>
        <w:spacing w:after="0" w:before="0"/>
      </w:pPr>
      <w:r>
        <w:t xml:space="preserve"/>
      </w:r>
    </w:p>
    <w:p>
      <w:pPr>
        <w:spacing w:after="80" w:before="280"/>
      </w:pPr>
      <w:r>
        <w:rPr>
          <w:rFonts w:ascii="Arial" w:cs="Arial" w:eastAsia="Arial" w:hAnsi="Arial"/>
          <w:b/>
          <w:bCs/>
          <w:color w:val="1A7A70"/>
          <w:sz w:val="26"/>
          <w:szCs w:val="26"/>
        </w:rPr>
        <w:t xml:space="preserve">Data We Process</w:t>
      </w:r>
    </w:p>
    <w:p>
      <w:pPr>
        <w:pStyle w:val="ListParagraph"/>
        <w:numPr>
          <w:ilvl w:val="0"/>
          <w:numId w:val="2"/>
        </w:numPr>
        <w:spacing w:after="40" w:before="40"/>
      </w:pPr>
      <w:r>
        <w:rPr>
          <w:rFonts w:ascii="Arial" w:cs="Arial" w:eastAsia="Arial" w:hAnsi="Arial"/>
          <w:color w:val="111111"/>
          <w:sz w:val="22"/>
          <w:szCs w:val="22"/>
        </w:rPr>
        <w:t xml:space="preserve">Family member names and colour preferences</w:t>
      </w:r>
    </w:p>
    <w:p>
      <w:pPr>
        <w:pStyle w:val="ListParagraph"/>
        <w:numPr>
          <w:ilvl w:val="0"/>
          <w:numId w:val="2"/>
        </w:numPr>
        <w:spacing w:after="40" w:before="40"/>
      </w:pPr>
      <w:r>
        <w:rPr>
          <w:rFonts w:ascii="Arial" w:cs="Arial" w:eastAsia="Arial" w:hAnsi="Arial"/>
          <w:color w:val="111111"/>
          <w:sz w:val="22"/>
          <w:szCs w:val="22"/>
        </w:rPr>
        <w:t xml:space="preserve">Calendar events (dates, times, who is involved)</w:t>
      </w:r>
    </w:p>
    <w:p>
      <w:pPr>
        <w:pStyle w:val="ListParagraph"/>
        <w:numPr>
          <w:ilvl w:val="0"/>
          <w:numId w:val="2"/>
        </w:numPr>
        <w:spacing w:after="40" w:before="40"/>
      </w:pPr>
      <w:r>
        <w:rPr>
          <w:rFonts w:ascii="Arial" w:cs="Arial" w:eastAsia="Arial" w:hAnsi="Arial"/>
          <w:color w:val="111111"/>
          <w:sz w:val="22"/>
          <w:szCs w:val="22"/>
        </w:rPr>
        <w:t xml:space="preserve">Tasks, chores, and household projects</w:t>
      </w:r>
    </w:p>
    <w:p>
      <w:pPr>
        <w:pStyle w:val="ListParagraph"/>
        <w:numPr>
          <w:ilvl w:val="0"/>
          <w:numId w:val="2"/>
        </w:numPr>
        <w:spacing w:after="40" w:before="40"/>
      </w:pPr>
      <w:r>
        <w:rPr>
          <w:rFonts w:ascii="Arial" w:cs="Arial" w:eastAsia="Arial" w:hAnsi="Arial"/>
          <w:color w:val="111111"/>
          <w:sz w:val="22"/>
          <w:szCs w:val="22"/>
        </w:rPr>
        <w:t xml:space="preserve">Shopping lists and meal plans</w:t>
      </w:r>
    </w:p>
    <w:p>
      <w:pPr>
        <w:pStyle w:val="ListParagraph"/>
        <w:numPr>
          <w:ilvl w:val="0"/>
          <w:numId w:val="2"/>
        </w:numPr>
        <w:spacing w:after="40" w:before="40"/>
      </w:pPr>
      <w:r>
        <w:rPr>
          <w:rFonts w:ascii="Arial" w:cs="Arial" w:eastAsia="Arial" w:hAnsi="Arial"/>
          <w:color w:val="111111"/>
          <w:sz w:val="22"/>
          <w:szCs w:val="22"/>
        </w:rPr>
        <w:t xml:space="preserve">Google account identifiers (planned — for authentication)</w:t>
      </w:r>
    </w:p>
    <w:p>
      <w:pPr>
        <w:pStyle w:val="ListParagraph"/>
        <w:numPr>
          <w:ilvl w:val="0"/>
          <w:numId w:val="2"/>
        </w:numPr>
        <w:spacing w:after="40" w:before="40"/>
      </w:pPr>
      <w:r>
        <w:rPr>
          <w:rFonts w:ascii="Arial" w:cs="Arial" w:eastAsia="Arial" w:hAnsi="Arial"/>
          <w:color w:val="111111"/>
          <w:sz w:val="22"/>
          <w:szCs w:val="22"/>
        </w:rPr>
        <w:t xml:space="preserve">No financial data, health data, or sensitive personal data is processed</w:t>
      </w:r>
    </w:p>
    <w:p>
      <w:pPr>
        <w:spacing w:after="0" w:before="0"/>
      </w:pPr>
      <w:r>
        <w:t xml:space="preserve"/>
      </w:r>
    </w:p>
    <w:p>
      <w:pPr>
        <w:spacing w:after="80" w:before="280"/>
      </w:pPr>
      <w:r>
        <w:rPr>
          <w:rFonts w:ascii="Arial" w:cs="Arial" w:eastAsia="Arial" w:hAnsi="Arial"/>
          <w:b/>
          <w:bCs/>
          <w:color w:val="1A7A70"/>
          <w:sz w:val="26"/>
          <w:szCs w:val="26"/>
        </w:rPr>
        <w:t xml:space="preserve">Our Commitments</w:t>
      </w:r>
    </w:p>
    <w:p>
      <w:pPr>
        <w:pStyle w:val="ListParagraph"/>
        <w:numPr>
          <w:ilvl w:val="0"/>
          <w:numId w:val="2"/>
        </w:numPr>
        <w:spacing w:after="40" w:before="40"/>
      </w:pPr>
      <w:r>
        <w:rPr>
          <w:rFonts w:ascii="Arial" w:cs="Arial" w:eastAsia="Arial" w:hAnsi="Arial"/>
          <w:color w:val="111111"/>
          <w:sz w:val="22"/>
          <w:szCs w:val="22"/>
        </w:rPr>
        <w:t xml:space="preserve">We collect only what is needed for the app to function</w:t>
      </w:r>
    </w:p>
    <w:p>
      <w:pPr>
        <w:pStyle w:val="ListParagraph"/>
        <w:numPr>
          <w:ilvl w:val="0"/>
          <w:numId w:val="2"/>
        </w:numPr>
        <w:spacing w:after="40" w:before="40"/>
      </w:pPr>
      <w:r>
        <w:rPr>
          <w:rFonts w:ascii="Arial" w:cs="Arial" w:eastAsia="Arial" w:hAnsi="Arial"/>
          <w:color w:val="111111"/>
          <w:sz w:val="22"/>
          <w:szCs w:val="22"/>
        </w:rPr>
        <w:t xml:space="preserve">We do not sell, share, or monetise family data</w:t>
      </w:r>
    </w:p>
    <w:p>
      <w:pPr>
        <w:pStyle w:val="ListParagraph"/>
        <w:numPr>
          <w:ilvl w:val="0"/>
          <w:numId w:val="2"/>
        </w:numPr>
        <w:spacing w:after="40" w:before="40"/>
      </w:pPr>
      <w:r>
        <w:rPr>
          <w:rFonts w:ascii="Arial" w:cs="Arial" w:eastAsia="Arial" w:hAnsi="Arial"/>
          <w:color w:val="111111"/>
          <w:sz w:val="22"/>
          <w:szCs w:val="22"/>
        </w:rPr>
        <w:t xml:space="preserve">We store data in the UK (Firebase europe-west2 — London)</w:t>
      </w:r>
    </w:p>
    <w:p>
      <w:pPr>
        <w:pStyle w:val="ListParagraph"/>
        <w:numPr>
          <w:ilvl w:val="0"/>
          <w:numId w:val="2"/>
        </w:numPr>
        <w:spacing w:after="40" w:before="40"/>
      </w:pPr>
      <w:r>
        <w:rPr>
          <w:rFonts w:ascii="Arial" w:cs="Arial" w:eastAsia="Arial" w:hAnsi="Arial"/>
          <w:color w:val="111111"/>
          <w:sz w:val="22"/>
          <w:szCs w:val="22"/>
        </w:rPr>
        <w:t xml:space="preserve">We will provide full data deletion on request</w:t>
      </w:r>
    </w:p>
    <w:p>
      <w:pPr>
        <w:pStyle w:val="ListParagraph"/>
        <w:numPr>
          <w:ilvl w:val="0"/>
          <w:numId w:val="2"/>
        </w:numPr>
        <w:spacing w:after="40" w:before="40"/>
      </w:pPr>
      <w:r>
        <w:rPr>
          <w:rFonts w:ascii="Arial" w:cs="Arial" w:eastAsia="Arial" w:hAnsi="Arial"/>
          <w:color w:val="111111"/>
          <w:sz w:val="22"/>
          <w:szCs w:val="22"/>
        </w:rPr>
        <w:t xml:space="preserve">We are building security in from the start, not retrofitting it</w:t>
      </w:r>
    </w:p>
    <w:p>
      <w:pPr>
        <w:spacing w:after="0" w:before="0"/>
      </w:pPr>
      <w:r>
        <w:t xml:space="preserve"/>
      </w:r>
    </w:p>
    <w:p>
      <w:r>
        <w:br w:type="page"/>
      </w:r>
    </w:p>
    <w:p>
      <w:pPr>
        <w:pBdr>
          <w:bottom w:val="single" w:color="1A7A70" w:sz="8" w:space="4"/>
        </w:pBdr>
        <w:spacing w:after="120" w:before="400"/>
      </w:pPr>
      <w:r>
        <w:rPr>
          <w:rFonts w:ascii="Arial" w:cs="Arial" w:eastAsia="Arial" w:hAnsi="Arial"/>
          <w:b/>
          <w:bCs/>
          <w:color w:val="0F2D38"/>
          <w:sz w:val="32"/>
          <w:szCs w:val="32"/>
        </w:rPr>
        <w:t xml:space="preserve">2. GDPR Compliance</w:t>
      </w:r>
    </w:p>
    <w:p>
      <w:pPr>
        <w:spacing w:after="100" w:before="60"/>
      </w:pPr>
      <w:r>
        <w:rPr>
          <w:rFonts w:ascii="Arial" w:cs="Arial" w:eastAsia="Arial" w:hAnsi="Arial"/>
          <w:color w:val="111111"/>
          <w:sz w:val="22"/>
          <w:szCs w:val="22"/>
        </w:rPr>
        <w:t xml:space="preserve">The UK GDPR and Data Protection Act 2018 apply to Family Hub as it processes personal data of UK residents, including individuals under 18 (as named household members, not account holders). The following table tracks compliance against key GDPR obligations.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26"/>
        <w:gridCol w:w="1200"/>
        <w:gridCol w:w="3200"/>
      </w:tblGrid>
      <w:tr>
        <w:tc>
          <w:tcPr>
            <w:tcW w:type="dxa" w:w="2000"/>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626"/>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Our Approach</w:t>
            </w:r>
          </w:p>
        </w:tc>
        <w:tc>
          <w:tcPr>
            <w:tcW w:type="dxa" w:w="1200"/>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200"/>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Lawful basis for processing</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Legitimate interest (family use). Consent basis planned for commercial release.</w:t>
            </w:r>
          </w:p>
        </w:tc>
        <w:tc>
          <w:tcPr>
            <w:tcW w:type="dxa" w:w="12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18"/>
                <w:szCs w:val="18"/>
              </w:rPr>
              <w:t xml:space="preserve">Implemented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All data is family-owned and family-entered. No third-party data sharing.</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F2D38"/>
                <w:sz w:val="20"/>
                <w:szCs w:val="20"/>
              </w:rPr>
              <w:t xml:space="preserve">Privacy policy</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Draft policy to be written covering data types, retention, and rights.</w:t>
            </w:r>
          </w:p>
        </w:tc>
        <w:tc>
          <w:tcPr>
            <w:tcW w:type="dxa" w:w="1200"/>
            <w:tcBorders>
              <w:top w:val="single" w:color="DDDDDD" w:sz="1"/>
              <w:left w:val="single" w:color="DDDDDD" w:sz="1"/>
              <w:bottom w:val="single" w:color="DDDDDD" w:sz="1"/>
              <w:right w:val="single" w:color="DDDDDD" w:sz="1"/>
            </w:tcBorders>
            <w:shd w:fill="FDF3DC" w:val="clear"/>
            <w:tcMar>
              <w:top w:type="dxa" w:w="80"/>
              <w:left w:type="dxa" w:w="80"/>
              <w:bottom w:type="dxa" w:w="80"/>
              <w:right w:type="dxa" w:w="80"/>
            </w:tcMar>
            <w:vAlign w:val="center"/>
          </w:tcPr>
          <w:p>
            <w:pPr>
              <w:jc w:val="center"/>
            </w:pPr>
            <w:r>
              <w:rPr>
                <w:rFonts w:ascii="Arial" w:cs="Arial" w:eastAsia="Arial" w:hAnsi="Arial"/>
                <w:b/>
                <w:bCs/>
                <w:color w:val="E8A838"/>
                <w:sz w:val="18"/>
                <w:szCs w:val="18"/>
              </w:rPr>
              <w:t xml:space="preserve">In Progress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Target: before any public release or beta testing outside immediate family.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Data minimisation</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App collects only what is entered by family members. No tracking, analytics, or advertising.</w:t>
            </w:r>
          </w:p>
        </w:tc>
        <w:tc>
          <w:tcPr>
            <w:tcW w:type="dxa" w:w="12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18"/>
                <w:szCs w:val="18"/>
              </w:rPr>
              <w:t xml:space="preserve">Implemented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No third-party analytics. No cookies beyond session. No ad networks.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F2D38"/>
                <w:sz w:val="20"/>
                <w:szCs w:val="20"/>
              </w:rPr>
              <w:t xml:space="preserve">Right to erasure</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Ability to delete all family data from Firestore on request.</w:t>
            </w:r>
          </w:p>
        </w:tc>
        <w:tc>
          <w:tcPr>
            <w:tcW w:type="dxa" w:w="1200"/>
            <w:tcBorders>
              <w:top w:val="single" w:color="DDDDDD" w:sz="1"/>
              <w:left w:val="single" w:color="DDDDDD" w:sz="1"/>
              <w:bottom w:val="single" w:color="DDDDDD" w:sz="1"/>
              <w:right w:val="single" w:color="DDDDDD" w:sz="1"/>
            </w:tcBorders>
            <w:shd w:fill="E8EEF0" w:val="clear"/>
            <w:tcMar>
              <w:top w:type="dxa" w:w="80"/>
              <w:left w:type="dxa" w:w="80"/>
              <w:bottom w:type="dxa" w:w="80"/>
              <w:right w:type="dxa" w:w="80"/>
            </w:tcMar>
            <w:vAlign w:val="center"/>
          </w:tcPr>
          <w:p>
            <w:pPr>
              <w:jc w:val="center"/>
            </w:pPr>
            <w:r>
              <w:rPr>
                <w:rFonts w:ascii="Arial" w:cs="Arial" w:eastAsia="Arial" w:hAnsi="Arial"/>
                <w:b/>
                <w:bCs/>
                <w:color w:val="0F2D38"/>
                <w:sz w:val="18"/>
                <w:szCs w:val="18"/>
              </w:rPr>
              <w:t xml:space="preserve">Planned</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S5-003 will include full family data deletion. Firestore allows bulk delete by familyId.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Data portability</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Ability to export family data in machine-readable format.</w:t>
            </w:r>
          </w:p>
        </w:tc>
        <w:tc>
          <w:tcPr>
            <w:tcW w:type="dxa" w:w="1200"/>
            <w:tcBorders>
              <w:top w:val="single" w:color="DDDDDD" w:sz="1"/>
              <w:left w:val="single" w:color="DDDDDD" w:sz="1"/>
              <w:bottom w:val="single" w:color="DDDDDD" w:sz="1"/>
              <w:right w:val="single" w:color="DDDDDD" w:sz="1"/>
            </w:tcBorders>
            <w:shd w:fill="E8EEF0" w:val="clear"/>
            <w:tcMar>
              <w:top w:type="dxa" w:w="80"/>
              <w:left w:type="dxa" w:w="80"/>
              <w:bottom w:type="dxa" w:w="80"/>
              <w:right w:type="dxa" w:w="80"/>
            </w:tcMar>
            <w:vAlign w:val="center"/>
          </w:tcPr>
          <w:p>
            <w:pPr>
              <w:jc w:val="center"/>
            </w:pPr>
            <w:r>
              <w:rPr>
                <w:rFonts w:ascii="Arial" w:cs="Arial" w:eastAsia="Arial" w:hAnsi="Arial"/>
                <w:b/>
                <w:bCs/>
                <w:color w:val="0F2D38"/>
                <w:sz w:val="18"/>
                <w:szCs w:val="18"/>
              </w:rPr>
              <w:t xml:space="preserve">Planned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JSON export of all Firestore collections. To be added in S5-003.</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F2D38"/>
                <w:sz w:val="20"/>
                <w:szCs w:val="20"/>
              </w:rPr>
              <w:t xml:space="preserve">Children's data</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Malachi and Mack (16) are named as household members, not account holders. Parents manage the account.</w:t>
            </w:r>
          </w:p>
        </w:tc>
        <w:tc>
          <w:tcPr>
            <w:tcW w:type="dxa" w:w="12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18"/>
                <w:szCs w:val="18"/>
              </w:rPr>
              <w:t xml:space="preserve">Implemented</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Under-18s are data subjects, not data controllers. Account held by adult (Giuseppe/Ross).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Data retention policy</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Define how long data is kept and when it is deleted.</w:t>
            </w:r>
          </w:p>
        </w:tc>
        <w:tc>
          <w:tcPr>
            <w:tcW w:type="dxa" w:w="1200"/>
            <w:tcBorders>
              <w:top w:val="single" w:color="DDDDDD" w:sz="1"/>
              <w:left w:val="single" w:color="DDDDDD" w:sz="1"/>
              <w:bottom w:val="single" w:color="DDDDDD" w:sz="1"/>
              <w:right w:val="single" w:color="DDDDDD" w:sz="1"/>
            </w:tcBorders>
            <w:shd w:fill="FDF3DC" w:val="clear"/>
            <w:tcMar>
              <w:top w:type="dxa" w:w="80"/>
              <w:left w:type="dxa" w:w="80"/>
              <w:bottom w:type="dxa" w:w="80"/>
              <w:right w:type="dxa" w:w="80"/>
            </w:tcMar>
            <w:vAlign w:val="center"/>
          </w:tcPr>
          <w:p>
            <w:pPr>
              <w:jc w:val="center"/>
            </w:pPr>
            <w:r>
              <w:rPr>
                <w:rFonts w:ascii="Arial" w:cs="Arial" w:eastAsia="Arial" w:hAnsi="Arial"/>
                <w:b/>
                <w:bCs/>
                <w:color w:val="E8A838"/>
                <w:sz w:val="18"/>
                <w:szCs w:val="18"/>
              </w:rPr>
              <w:t xml:space="preserve">In Progress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Default: data kept until family deletes it. No automated expiry yet.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F2D38"/>
                <w:sz w:val="20"/>
                <w:szCs w:val="20"/>
              </w:rPr>
              <w:t xml:space="preserve">Data breach procedure</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Documented process for identifying and reporting a data breach within 72 hours.</w:t>
            </w:r>
          </w:p>
        </w:tc>
        <w:tc>
          <w:tcPr>
            <w:tcW w:type="dxa" w:w="1200"/>
            <w:tcBorders>
              <w:top w:val="single" w:color="DDDDDD" w:sz="1"/>
              <w:left w:val="single" w:color="DDDDDD" w:sz="1"/>
              <w:bottom w:val="single" w:color="DDDDDD" w:sz="1"/>
              <w:right w:val="single" w:color="DDDDDD" w:sz="1"/>
            </w:tcBorders>
            <w:shd w:fill="E8EEF0" w:val="clear"/>
            <w:tcMar>
              <w:top w:type="dxa" w:w="80"/>
              <w:left w:type="dxa" w:w="80"/>
              <w:bottom w:type="dxa" w:w="80"/>
              <w:right w:type="dxa" w:w="80"/>
            </w:tcMar>
            <w:vAlign w:val="center"/>
          </w:tcPr>
          <w:p>
            <w:pPr>
              <w:jc w:val="center"/>
            </w:pPr>
            <w:r>
              <w:rPr>
                <w:rFonts w:ascii="Arial" w:cs="Arial" w:eastAsia="Arial" w:hAnsi="Arial"/>
                <w:b/>
                <w:bCs/>
                <w:color w:val="0F2D38"/>
                <w:sz w:val="18"/>
                <w:szCs w:val="18"/>
              </w:rPr>
              <w:t xml:space="preserve">Planned</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To be documented before commercial release. Firebase has built-in breach detection.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Data Processing Agreement (Firebase)</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Google/Firebase DPA to be signed to formalise processor relationship.</w:t>
            </w:r>
          </w:p>
        </w:tc>
        <w:tc>
          <w:tcPr>
            <w:tcW w:type="dxa" w:w="1200"/>
            <w:tcBorders>
              <w:top w:val="single" w:color="DDDDDD" w:sz="1"/>
              <w:left w:val="single" w:color="DDDDDD" w:sz="1"/>
              <w:bottom w:val="single" w:color="DDDDDD" w:sz="1"/>
              <w:right w:val="single" w:color="DDDDDD" w:sz="1"/>
            </w:tcBorders>
            <w:shd w:fill="E8EEF0" w:val="clear"/>
            <w:tcMar>
              <w:top w:type="dxa" w:w="80"/>
              <w:left w:type="dxa" w:w="80"/>
              <w:bottom w:type="dxa" w:w="80"/>
              <w:right w:type="dxa" w:w="80"/>
            </w:tcMar>
            <w:vAlign w:val="center"/>
          </w:tcPr>
          <w:p>
            <w:pPr>
              <w:jc w:val="center"/>
            </w:pPr>
            <w:r>
              <w:rPr>
                <w:rFonts w:ascii="Arial" w:cs="Arial" w:eastAsia="Arial" w:hAnsi="Arial"/>
                <w:b/>
                <w:bCs/>
                <w:color w:val="0F2D38"/>
                <w:sz w:val="18"/>
                <w:szCs w:val="18"/>
              </w:rPr>
              <w:t xml:space="preserve">Planned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Firebase offers a standard DPA. To be signed before public release.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F2D38"/>
                <w:sz w:val="20"/>
                <w:szCs w:val="20"/>
              </w:rPr>
              <w:t xml:space="preserve">International transfers</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Firebase data stored in europe-west2 (London). No transfers outside UK/EU.</w:t>
            </w:r>
          </w:p>
        </w:tc>
        <w:tc>
          <w:tcPr>
            <w:tcW w:type="dxa" w:w="12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18"/>
                <w:szCs w:val="18"/>
              </w:rPr>
              <w:t xml:space="preserve">Implemented</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Region explicitly set to europe-west2 at project creation.</w:t>
            </w:r>
          </w:p>
        </w:tc>
      </w:tr>
    </w:tbl>
    <w:p>
      <w:pPr>
        <w:spacing w:after="0" w:before="0"/>
      </w:pPr>
      <w:r>
        <w:t xml:space="preserve"/>
      </w:r>
    </w:p>
    <w:p>
      <w:pPr>
        <w:spacing w:after="0" w:before="0"/>
      </w:pPr>
      <w:r>
        <w:t xml:space="preserve"/>
      </w:r>
    </w:p>
    <w:p>
      <w:r>
        <w:br w:type="page"/>
      </w:r>
    </w:p>
    <w:p>
      <w:pPr>
        <w:pBdr>
          <w:bottom w:val="single" w:color="1A7A70" w:sz="8" w:space="4"/>
        </w:pBdr>
        <w:spacing w:after="120" w:before="400"/>
      </w:pPr>
      <w:r>
        <w:rPr>
          <w:rFonts w:ascii="Arial" w:cs="Arial" w:eastAsia="Arial" w:hAnsi="Arial"/>
          <w:b/>
          <w:bCs/>
          <w:color w:val="0F2D38"/>
          <w:sz w:val="32"/>
          <w:szCs w:val="32"/>
        </w:rPr>
        <w:t xml:space="preserve">3. Security Controls</w:t>
      </w:r>
    </w:p>
    <w:p>
      <w:pPr>
        <w:spacing w:after="100" w:before="60"/>
      </w:pPr>
      <w:r>
        <w:rPr>
          <w:rFonts w:ascii="Arial" w:cs="Arial" w:eastAsia="Arial" w:hAnsi="Arial"/>
          <w:color w:val="111111"/>
          <w:sz w:val="22"/>
          <w:szCs w:val="22"/>
        </w:rPr>
        <w:t xml:space="preserve">The following table documents implemented and planned security controls. Family Hub is built on Firebase (Google Cloud), which provides enterprise-grade infrastructure security as a baseline. Our controls address application-level security on top of that foundation.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26"/>
        <w:gridCol w:w="1200"/>
        <w:gridCol w:w="3400"/>
      </w:tblGrid>
      <w:tr>
        <w:tc>
          <w:tcPr>
            <w:tcW w:type="dxa" w:w="2000"/>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2426"/>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400"/>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Notes / Next Steps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Firestore Security Rules</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Database locked down — authenticated users only. Test mode disabled.</w:t>
            </w:r>
          </w:p>
        </w:tc>
        <w:tc>
          <w:tcPr>
            <w:tcW w:type="dxa" w:w="12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18"/>
                <w:szCs w:val="18"/>
              </w:rPr>
              <w:t xml:space="preserve">Implemented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Phase 1 rules deployed. Phase 2 (per-family isolation) planned for S5-003.</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F2D38"/>
                <w:sz w:val="20"/>
                <w:szCs w:val="20"/>
              </w:rPr>
              <w:t xml:space="preserve">Authentication</w:t>
            </w:r>
          </w:p>
        </w:tc>
        <w:tc>
          <w:tcPr>
            <w:tcW w:type="dxa" w:w="2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Google Sign-In planned. Currently no auth (single trusted family).</w:t>
            </w:r>
          </w:p>
        </w:tc>
        <w:tc>
          <w:tcPr>
            <w:tcW w:type="dxa" w:w="1200"/>
            <w:tcBorders>
              <w:top w:val="single" w:color="DDDDDD" w:sz="1"/>
              <w:left w:val="single" w:color="DDDDDD" w:sz="1"/>
              <w:bottom w:val="single" w:color="DDDDDD" w:sz="1"/>
              <w:right w:val="single" w:color="DDDDDD" w:sz="1"/>
            </w:tcBorders>
            <w:shd w:fill="FDF3DC" w:val="clear"/>
            <w:tcMar>
              <w:top w:type="dxa" w:w="80"/>
              <w:left w:type="dxa" w:w="80"/>
              <w:bottom w:type="dxa" w:w="80"/>
              <w:right w:type="dxa" w:w="80"/>
            </w:tcMar>
            <w:vAlign w:val="center"/>
          </w:tcPr>
          <w:p>
            <w:pPr>
              <w:jc w:val="center"/>
            </w:pPr>
            <w:r>
              <w:rPr>
                <w:rFonts w:ascii="Arial" w:cs="Arial" w:eastAsia="Arial" w:hAnsi="Arial"/>
                <w:b/>
                <w:bCs/>
                <w:color w:val="E8A838"/>
                <w:sz w:val="18"/>
                <w:szCs w:val="18"/>
              </w:rPr>
              <w:t xml:space="preserve">In Progress</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S5-003. Firebase Authentication with Google provider.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Per-family data isolation</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Multi-tenant architecture with familyId scoping all reads and writes.</w:t>
            </w:r>
          </w:p>
        </w:tc>
        <w:tc>
          <w:tcPr>
            <w:tcW w:type="dxa" w:w="1200"/>
            <w:tcBorders>
              <w:top w:val="single" w:color="DDDDDD" w:sz="1"/>
              <w:left w:val="single" w:color="DDDDDD" w:sz="1"/>
              <w:bottom w:val="single" w:color="DDDDDD" w:sz="1"/>
              <w:right w:val="single" w:color="DDDDDD" w:sz="1"/>
            </w:tcBorders>
            <w:shd w:fill="E6F4F2" w:val="clear"/>
            <w:tcMar>
              <w:top w:type="dxa" w:w="80"/>
              <w:left w:type="dxa" w:w="80"/>
              <w:bottom w:type="dxa" w:w="80"/>
              <w:right w:type="dxa" w:w="80"/>
            </w:tcMar>
            <w:vAlign w:val="center"/>
          </w:tcPr>
          <w:p>
            <w:pPr>
              <w:jc w:val="center"/>
            </w:pPr>
            <w:r>
              <w:rPr>
                <w:rFonts w:ascii="Arial" w:cs="Arial" w:eastAsia="Arial" w:hAnsi="Arial"/>
                <w:b/>
                <w:bCs/>
                <w:color w:val="1A7A70"/>
                <w:sz w:val="18"/>
                <w:szCs w:val="18"/>
              </w:rPr>
              <w:t xml:space="preserve">Phase 2</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S5-003. Firestore rules already written and commented in firestore.rules.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F2D38"/>
                <w:sz w:val="20"/>
                <w:szCs w:val="20"/>
              </w:rPr>
              <w:t xml:space="preserve">Transport security (HTTPS)</w:t>
            </w:r>
          </w:p>
        </w:tc>
        <w:tc>
          <w:tcPr>
            <w:tcW w:type="dxa" w:w="2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All traffic encrypted in transit. GitHub Pages enforces HTTPS. Firebase uses TLS.</w:t>
            </w:r>
          </w:p>
        </w:tc>
        <w:tc>
          <w:tcPr>
            <w:tcW w:type="dxa" w:w="12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18"/>
                <w:szCs w:val="18"/>
              </w:rPr>
              <w:t xml:space="preserve">Implemented</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GitHub Pages HTTPS enforced. Firebase SDK uses TLS 1.2+.</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API key exposure</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Firebase config (API key) is client-side. This is expected for Firebase — key is restricted by domain.</w:t>
            </w:r>
          </w:p>
        </w:tc>
        <w:tc>
          <w:tcPr>
            <w:tcW w:type="dxa" w:w="1200"/>
            <w:tcBorders>
              <w:top w:val="single" w:color="DDDDDD" w:sz="1"/>
              <w:left w:val="single" w:color="DDDDDD" w:sz="1"/>
              <w:bottom w:val="single" w:color="DDDDDD" w:sz="1"/>
              <w:right w:val="single" w:color="DDDDDD" w:sz="1"/>
            </w:tcBorders>
            <w:shd w:fill="FDF3DC" w:val="clear"/>
            <w:tcMar>
              <w:top w:type="dxa" w:w="80"/>
              <w:left w:type="dxa" w:w="80"/>
              <w:bottom w:type="dxa" w:w="80"/>
              <w:right w:type="dxa" w:w="80"/>
            </w:tcMar>
            <w:vAlign w:val="center"/>
          </w:tcPr>
          <w:p>
            <w:pPr>
              <w:jc w:val="center"/>
            </w:pPr>
            <w:r>
              <w:rPr>
                <w:rFonts w:ascii="Arial" w:cs="Arial" w:eastAsia="Arial" w:hAnsi="Arial"/>
                <w:b/>
                <w:bCs/>
                <w:color w:val="E8A838"/>
                <w:sz w:val="18"/>
                <w:szCs w:val="18"/>
              </w:rPr>
              <w:t xml:space="preserve">In Progress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To add: Firebase API key restrictions by referrer domain in Google Cloud Console.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F2D38"/>
                <w:sz w:val="20"/>
                <w:szCs w:val="20"/>
              </w:rPr>
              <w:t xml:space="preserve">Dependency security</w:t>
            </w:r>
          </w:p>
        </w:tc>
        <w:tc>
          <w:tcPr>
            <w:tcW w:type="dxa" w:w="2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Firebase SDK loaded from Google CDN. No npm dependencies in production bundle.</w:t>
            </w:r>
          </w:p>
        </w:tc>
        <w:tc>
          <w:tcPr>
            <w:tcW w:type="dxa" w:w="12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18"/>
                <w:szCs w:val="18"/>
              </w:rPr>
              <w:t xml:space="preserve">Implemented</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Single HTML file. No node_modules in production. Firebase SDK from trusted CDN.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Access control</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Family admin role planned. Currently all family members have equal access.</w:t>
            </w:r>
          </w:p>
        </w:tc>
        <w:tc>
          <w:tcPr>
            <w:tcW w:type="dxa" w:w="1200"/>
            <w:tcBorders>
              <w:top w:val="single" w:color="DDDDDD" w:sz="1"/>
              <w:left w:val="single" w:color="DDDDDD" w:sz="1"/>
              <w:bottom w:val="single" w:color="DDDDDD" w:sz="1"/>
              <w:right w:val="single" w:color="DDDDDD" w:sz="1"/>
            </w:tcBorders>
            <w:shd w:fill="E6F4F2" w:val="clear"/>
            <w:tcMar>
              <w:top w:type="dxa" w:w="80"/>
              <w:left w:type="dxa" w:w="80"/>
              <w:bottom w:type="dxa" w:w="80"/>
              <w:right w:type="dxa" w:w="80"/>
            </w:tcMar>
            <w:vAlign w:val="center"/>
          </w:tcPr>
          <w:p>
            <w:pPr>
              <w:jc w:val="center"/>
            </w:pPr>
            <w:r>
              <w:rPr>
                <w:rFonts w:ascii="Arial" w:cs="Arial" w:eastAsia="Arial" w:hAnsi="Arial"/>
                <w:b/>
                <w:bCs/>
                <w:color w:val="1A7A70"/>
                <w:sz w:val="18"/>
                <w:szCs w:val="18"/>
              </w:rPr>
              <w:t xml:space="preserve">Phase 2</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Admin role in S5-003. Admin can add/remove members and delete family data.</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F2D38"/>
                <w:sz w:val="20"/>
                <w:szCs w:val="20"/>
              </w:rPr>
              <w:t xml:space="preserve">Audit logging</w:t>
            </w:r>
          </w:p>
        </w:tc>
        <w:tc>
          <w:tcPr>
            <w:tcW w:type="dxa" w:w="2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Firestore has built-in audit logging via Google Cloud Audit Logs.</w:t>
            </w:r>
          </w:p>
        </w:tc>
        <w:tc>
          <w:tcPr>
            <w:tcW w:type="dxa" w:w="120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18"/>
                <w:szCs w:val="18"/>
              </w:rPr>
              <w:t xml:space="preserve">Implemented</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Enable Cloud Audit Logs in Google Cloud Console for production.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Penetration testing</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No formal pen test yet. Planned before commercial release.</w:t>
            </w:r>
          </w:p>
        </w:tc>
        <w:tc>
          <w:tcPr>
            <w:tcW w:type="dxa" w:w="12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888888"/>
                <w:sz w:val="18"/>
                <w:szCs w:val="18"/>
              </w:rPr>
              <w:t xml:space="preserve">Not Started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Required before any commercial release. Can use automated tools (e.g. OWASP ZAP) initially.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F2D38"/>
                <w:sz w:val="20"/>
                <w:szCs w:val="20"/>
              </w:rPr>
              <w:t xml:space="preserve">Vulnerability disclosure policy</w:t>
            </w:r>
          </w:p>
        </w:tc>
        <w:tc>
          <w:tcPr>
            <w:tcW w:type="dxa" w:w="2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No policy yet. Required for commercial release.</w:t>
            </w:r>
          </w:p>
        </w:tc>
        <w:tc>
          <w:tcPr>
            <w:tcW w:type="dxa" w:w="12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888888"/>
                <w:sz w:val="18"/>
                <w:szCs w:val="18"/>
              </w:rPr>
              <w:t xml:space="preserve">Not Started</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Simple responsible disclosure email address and process to be documented.</w:t>
            </w:r>
          </w:p>
        </w:tc>
      </w:tr>
    </w:tbl>
    <w:p>
      <w:pPr>
        <w:spacing w:after="0" w:before="0"/>
      </w:pPr>
      <w:r>
        <w:t xml:space="preserve"/>
      </w:r>
    </w:p>
    <w:p>
      <w:pPr>
        <w:spacing w:after="0" w:before="0"/>
      </w:pPr>
      <w:r>
        <w:t xml:space="preserve"/>
      </w:r>
    </w:p>
    <w:p>
      <w:r>
        <w:br w:type="page"/>
      </w:r>
    </w:p>
    <w:p>
      <w:pPr>
        <w:pBdr>
          <w:bottom w:val="single" w:color="1A7A70" w:sz="8" w:space="4"/>
        </w:pBdr>
        <w:spacing w:after="120" w:before="400"/>
      </w:pPr>
      <w:r>
        <w:rPr>
          <w:rFonts w:ascii="Arial" w:cs="Arial" w:eastAsia="Arial" w:hAnsi="Arial"/>
          <w:b/>
          <w:bCs/>
          <w:color w:val="0F2D38"/>
          <w:sz w:val="32"/>
          <w:szCs w:val="32"/>
        </w:rPr>
        <w:t xml:space="preserve">4. Data Flow Map</w:t>
      </w:r>
    </w:p>
    <w:p>
      <w:pPr>
        <w:spacing w:after="100" w:before="60"/>
      </w:pPr>
      <w:r>
        <w:rPr>
          <w:rFonts w:ascii="Arial" w:cs="Arial" w:eastAsia="Arial" w:hAnsi="Arial"/>
          <w:color w:val="111111"/>
          <w:sz w:val="22"/>
          <w:szCs w:val="22"/>
        </w:rPr>
        <w:t xml:space="preserve">This section documents how data moves through the Family Hub system. All data flows are encrypted in transit using HTTPS/TLS. No personal data leaves the UK/EU region.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200"/>
        <w:gridCol w:w="2826"/>
      </w:tblGrid>
      <w:tr>
        <w:tc>
          <w:tcPr>
            <w:tcW w:type="dxa" w:w="1800"/>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Flow</w:t>
            </w:r>
          </w:p>
        </w:tc>
        <w:tc>
          <w:tcPr>
            <w:tcW w:type="dxa" w:w="1600"/>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600"/>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1200"/>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826"/>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Family member enters data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Device (phone/SyncGo)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Firebase Firestore (europe-west2)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HTTPS/TLS</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Encrypted in transit and at rest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F2D38"/>
                <w:sz w:val="20"/>
                <w:szCs w:val="20"/>
              </w:rPr>
              <w:t xml:space="preserve">Firestore → App</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Firebase Firestore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Device browser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HTTPS/TLS (WebSocket)</w:t>
            </w:r>
          </w:p>
        </w:tc>
        <w:tc>
          <w:tcPr>
            <w:tcW w:type="dxa" w:w="2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Real-time listener, encrypted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Google Fonts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Google CDN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Device browser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HTTPS</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No personal data transferred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F2D38"/>
                <w:sz w:val="20"/>
                <w:szCs w:val="20"/>
              </w:rPr>
              <w:t xml:space="preserve">Firebase SDK</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Google CDN (gstatic.com)</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Device browser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HTTPS</w:t>
            </w:r>
          </w:p>
        </w:tc>
        <w:tc>
          <w:tcPr>
            <w:tcW w:type="dxa" w:w="2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No personal data transferred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Future: Google Calendar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Google Calendar API</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Firebase Firestore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OAuth 2.0 + HTTPS</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Planned S5-001. User consent required.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F2D38"/>
                <w:sz w:val="20"/>
                <w:szCs w:val="20"/>
              </w:rPr>
              <w:t xml:space="preserve">Future: Email → Hub</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Gmail (family inbox)</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Firebase Firestore via Apps Script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Google internal</w:t>
            </w:r>
          </w:p>
        </w:tc>
        <w:tc>
          <w:tcPr>
            <w:tcW w:type="dxa" w:w="2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Planned S5-002. No external email processor.</w:t>
            </w:r>
          </w:p>
        </w:tc>
      </w:tr>
    </w:tbl>
    <w:p>
      <w:pPr>
        <w:spacing w:after="0" w:before="0"/>
      </w:pPr>
      <w:r>
        <w:t xml:space="preserve"/>
      </w:r>
    </w:p>
    <w:p>
      <w:pPr>
        <w:spacing w:after="0" w:before="0"/>
      </w:pPr>
      <w:r>
        <w:t xml:space="preserve"/>
      </w:r>
    </w:p>
    <w:p>
      <w:r>
        <w:br w:type="page"/>
      </w:r>
    </w:p>
    <w:p>
      <w:pPr>
        <w:pBdr>
          <w:bottom w:val="single" w:color="1A7A70" w:sz="8" w:space="4"/>
        </w:pBdr>
        <w:spacing w:after="120" w:before="400"/>
      </w:pPr>
      <w:r>
        <w:rPr>
          <w:rFonts w:ascii="Arial" w:cs="Arial" w:eastAsia="Arial" w:hAnsi="Arial"/>
          <w:b/>
          <w:bCs/>
          <w:color w:val="0F2D38"/>
          <w:sz w:val="32"/>
          <w:szCs w:val="32"/>
        </w:rPr>
        <w:t xml:space="preserve">5. Certifications &amp; Standards Roadmap</w:t>
      </w:r>
    </w:p>
    <w:p>
      <w:pPr>
        <w:spacing w:after="100" w:before="60"/>
      </w:pPr>
      <w:r>
        <w:rPr>
          <w:rFonts w:ascii="Arial" w:cs="Arial" w:eastAsia="Arial" w:hAnsi="Arial"/>
          <w:color w:val="111111"/>
          <w:sz w:val="22"/>
          <w:szCs w:val="22"/>
        </w:rPr>
        <w:t xml:space="preserve">This section tracks progress toward formal certifications and standards. These are not currently required for personal use but will be necessary or strongly advisable before commercial release.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26"/>
        <w:gridCol w:w="1200"/>
        <w:gridCol w:w="3400"/>
      </w:tblGrid>
      <w:tr>
        <w:tc>
          <w:tcPr>
            <w:tcW w:type="dxa" w:w="2000"/>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426"/>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400"/>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Cyber Essentials (UK)</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UK government-backed baseline security certification. ~£300-500. Takes 2-4 weeks.</w:t>
            </w:r>
          </w:p>
        </w:tc>
        <w:tc>
          <w:tcPr>
            <w:tcW w:type="dxa" w:w="1200"/>
            <w:tcBorders>
              <w:top w:val="single" w:color="DDDDDD" w:sz="1"/>
              <w:left w:val="single" w:color="DDDDDD" w:sz="1"/>
              <w:bottom w:val="single" w:color="DDDDDD" w:sz="1"/>
              <w:right w:val="single" w:color="DDDDDD" w:sz="1"/>
            </w:tcBorders>
            <w:shd w:fill="E8EEF0" w:val="clear"/>
            <w:tcMar>
              <w:top w:type="dxa" w:w="80"/>
              <w:left w:type="dxa" w:w="80"/>
              <w:bottom w:type="dxa" w:w="80"/>
              <w:right w:type="dxa" w:w="80"/>
            </w:tcMar>
            <w:vAlign w:val="center"/>
          </w:tcPr>
          <w:p>
            <w:pPr>
              <w:jc w:val="center"/>
            </w:pPr>
            <w:r>
              <w:rPr>
                <w:rFonts w:ascii="Arial" w:cs="Arial" w:eastAsia="Arial" w:hAnsi="Arial"/>
                <w:b/>
                <w:bCs/>
                <w:color w:val="0F2D38"/>
                <w:sz w:val="18"/>
                <w:szCs w:val="18"/>
              </w:rPr>
              <w:t xml:space="preserve">Planned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Realistic target once auth and security rules are fully implemented. Strong trust signal for UK buyers.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F2D38"/>
                <w:sz w:val="20"/>
                <w:szCs w:val="20"/>
              </w:rPr>
              <w:t xml:space="preserve">Cyber Essentials Plus</w:t>
            </w:r>
          </w:p>
        </w:tc>
        <w:tc>
          <w:tcPr>
            <w:tcW w:type="dxa" w:w="2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Enhanced version with independent verification. ~£1,500-3,000.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888888"/>
                <w:sz w:val="18"/>
                <w:szCs w:val="18"/>
              </w:rPr>
              <w:t xml:space="preserve">Not Started</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Consider after Cyber Essentials basic is achieved.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ISO 27001</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International information security management standard. £5-15k + 6-12 months.</w:t>
            </w:r>
          </w:p>
        </w:tc>
        <w:tc>
          <w:tcPr>
            <w:tcW w:type="dxa" w:w="12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888888"/>
                <w:sz w:val="18"/>
                <w:szCs w:val="18"/>
              </w:rPr>
              <w:t xml:space="preserve">Not Started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Only pursue once there are paying enterprise customers requiring it.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F2D38"/>
                <w:sz w:val="20"/>
                <w:szCs w:val="20"/>
              </w:rPr>
              <w:t xml:space="preserve">ICO Registration (UK)</w:t>
            </w:r>
          </w:p>
        </w:tc>
        <w:tc>
          <w:tcPr>
            <w:tcW w:type="dxa" w:w="2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Required if processing personal data as a business. £40/year for small organisations.</w:t>
            </w:r>
          </w:p>
        </w:tc>
        <w:tc>
          <w:tcPr>
            <w:tcW w:type="dxa" w:w="1200"/>
            <w:tcBorders>
              <w:top w:val="single" w:color="DDDDDD" w:sz="1"/>
              <w:left w:val="single" w:color="DDDDDD" w:sz="1"/>
              <w:bottom w:val="single" w:color="DDDDDD" w:sz="1"/>
              <w:right w:val="single" w:color="DDDDDD" w:sz="1"/>
            </w:tcBorders>
            <w:shd w:fill="E8EEF0" w:val="clear"/>
            <w:tcMar>
              <w:top w:type="dxa" w:w="80"/>
              <w:left w:type="dxa" w:w="80"/>
              <w:bottom w:type="dxa" w:w="80"/>
              <w:right w:type="dxa" w:w="80"/>
            </w:tcMar>
            <w:vAlign w:val="center"/>
          </w:tcPr>
          <w:p>
            <w:pPr>
              <w:jc w:val="center"/>
            </w:pPr>
            <w:r>
              <w:rPr>
                <w:rFonts w:ascii="Arial" w:cs="Arial" w:eastAsia="Arial" w:hAnsi="Arial"/>
                <w:b/>
                <w:bCs/>
                <w:color w:val="0F2D38"/>
                <w:sz w:val="18"/>
                <w:szCs w:val="18"/>
              </w:rPr>
              <w:t xml:space="preserve">Planned</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Required before any commercial activity. Simple online registration with the ICO.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App Store compliance</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Apple and Google privacy labels and data safety forms required for native app.</w:t>
            </w:r>
          </w:p>
        </w:tc>
        <w:tc>
          <w:tcPr>
            <w:tcW w:type="dxa" w:w="12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888888"/>
                <w:sz w:val="18"/>
                <w:szCs w:val="18"/>
              </w:rPr>
              <w:t xml:space="preserve">Not Applicable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Current product is a PWA. Required if native app is built in future.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F2D38"/>
                <w:sz w:val="20"/>
                <w:szCs w:val="20"/>
              </w:rPr>
              <w:t xml:space="preserve">SOC 2</w:t>
            </w:r>
          </w:p>
        </w:tc>
        <w:tc>
          <w:tcPr>
            <w:tcW w:type="dxa" w:w="2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US security framework often required by enterprise US customers.</w:t>
            </w:r>
          </w:p>
        </w:tc>
        <w:tc>
          <w:tcPr>
            <w:tcW w:type="dxa" w:w="12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888888"/>
                <w:sz w:val="18"/>
                <w:szCs w:val="18"/>
              </w:rPr>
              <w:t xml:space="preserve">Not Started</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Only relevant if targeting US enterprise market.</w:t>
            </w:r>
          </w:p>
        </w:tc>
      </w:tr>
    </w:tbl>
    <w:p>
      <w:pPr>
        <w:spacing w:after="0" w:before="0"/>
      </w:pPr>
      <w:r>
        <w:t xml:space="preserve"/>
      </w:r>
    </w:p>
    <w:p>
      <w:pPr>
        <w:spacing w:after="0" w:before="0"/>
      </w:pPr>
      <w:r>
        <w:t xml:space="preserve"/>
      </w:r>
    </w:p>
    <w:p>
      <w:r>
        <w:br w:type="page"/>
      </w:r>
    </w:p>
    <w:p>
      <w:pPr>
        <w:pBdr>
          <w:bottom w:val="single" w:color="1A7A70" w:sz="8" w:space="4"/>
        </w:pBdr>
        <w:spacing w:after="120" w:before="400"/>
      </w:pPr>
      <w:r>
        <w:rPr>
          <w:rFonts w:ascii="Arial" w:cs="Arial" w:eastAsia="Arial" w:hAnsi="Arial"/>
          <w:b/>
          <w:bCs/>
          <w:color w:val="0F2D38"/>
          <w:sz w:val="32"/>
          <w:szCs w:val="32"/>
        </w:rPr>
        <w:t xml:space="preserve">6. Incident Response Plan</w:t>
      </w:r>
    </w:p>
    <w:p>
      <w:pPr>
        <w:spacing w:after="100" w:before="60"/>
      </w:pPr>
      <w:r>
        <w:rPr>
          <w:rFonts w:ascii="Arial" w:cs="Arial" w:eastAsia="Arial" w:hAnsi="Arial"/>
          <w:color w:val="111111"/>
          <w:sz w:val="22"/>
          <w:szCs w:val="22"/>
        </w:rPr>
        <w:t xml:space="preserve">In the event of a suspected data breach or security incident, the following process applies. Under UK GDPR, a breach that is likely to result in risk to individuals must be reported to the ICO within 72 hours of becoming aware of it.</w:t>
      </w:r>
    </w:p>
    <w:p>
      <w:pPr>
        <w:spacing w:after="0" w:before="0"/>
      </w:pPr>
      <w:r>
        <w:t xml:space="preserve"/>
      </w:r>
    </w:p>
    <w:p>
      <w:pPr>
        <w:spacing w:after="80" w:before="280"/>
      </w:pPr>
      <w:r>
        <w:rPr>
          <w:rFonts w:ascii="Arial" w:cs="Arial" w:eastAsia="Arial" w:hAnsi="Arial"/>
          <w:b/>
          <w:bCs/>
          <w:color w:val="1A7A70"/>
          <w:sz w:val="26"/>
          <w:szCs w:val="26"/>
        </w:rPr>
        <w:t xml:space="preserve">Step 1 — Identify &amp; Contain (0-4 hours)</w:t>
      </w:r>
    </w:p>
    <w:p>
      <w:pPr>
        <w:pStyle w:val="ListParagraph"/>
        <w:numPr>
          <w:ilvl w:val="0"/>
          <w:numId w:val="2"/>
        </w:numPr>
        <w:spacing w:after="40" w:before="40"/>
      </w:pPr>
      <w:r>
        <w:rPr>
          <w:rFonts w:ascii="Arial" w:cs="Arial" w:eastAsia="Arial" w:hAnsi="Arial"/>
          <w:color w:val="111111"/>
          <w:sz w:val="22"/>
          <w:szCs w:val="22"/>
        </w:rPr>
        <w:t xml:space="preserve">Identify the nature of the incident — what data, how many people, how it happened</w:t>
      </w:r>
    </w:p>
    <w:p>
      <w:pPr>
        <w:pStyle w:val="ListParagraph"/>
        <w:numPr>
          <w:ilvl w:val="0"/>
          <w:numId w:val="2"/>
        </w:numPr>
        <w:spacing w:after="40" w:before="40"/>
      </w:pPr>
      <w:r>
        <w:rPr>
          <w:rFonts w:ascii="Arial" w:cs="Arial" w:eastAsia="Arial" w:hAnsi="Arial"/>
          <w:color w:val="111111"/>
          <w:sz w:val="22"/>
          <w:szCs w:val="22"/>
        </w:rPr>
        <w:t xml:space="preserve">Revoke any compromised access (Firebase Console → Authentication → disable user)</w:t>
      </w:r>
    </w:p>
    <w:p>
      <w:pPr>
        <w:pStyle w:val="ListParagraph"/>
        <w:numPr>
          <w:ilvl w:val="0"/>
          <w:numId w:val="2"/>
        </w:numPr>
        <w:spacing w:after="40" w:before="40"/>
      </w:pPr>
      <w:r>
        <w:rPr>
          <w:rFonts w:ascii="Arial" w:cs="Arial" w:eastAsia="Arial" w:hAnsi="Arial"/>
          <w:color w:val="111111"/>
          <w:sz w:val="22"/>
          <w:szCs w:val="22"/>
        </w:rPr>
        <w:t xml:space="preserve">If Firebase credentials compromised: rotate API keys in Google Cloud Console immediately</w:t>
      </w:r>
    </w:p>
    <w:p>
      <w:pPr>
        <w:pStyle w:val="ListParagraph"/>
        <w:numPr>
          <w:ilvl w:val="0"/>
          <w:numId w:val="2"/>
        </w:numPr>
        <w:spacing w:after="40" w:before="40"/>
      </w:pPr>
      <w:r>
        <w:rPr>
          <w:rFonts w:ascii="Arial" w:cs="Arial" w:eastAsia="Arial" w:hAnsi="Arial"/>
          <w:color w:val="111111"/>
          <w:sz w:val="22"/>
          <w:szCs w:val="22"/>
        </w:rPr>
        <w:t xml:space="preserve">Preserve evidence — do not delete logs</w:t>
      </w:r>
    </w:p>
    <w:p>
      <w:pPr>
        <w:spacing w:after="0" w:before="0"/>
      </w:pPr>
      <w:r>
        <w:t xml:space="preserve"/>
      </w:r>
    </w:p>
    <w:p>
      <w:pPr>
        <w:spacing w:after="80" w:before="280"/>
      </w:pPr>
      <w:r>
        <w:rPr>
          <w:rFonts w:ascii="Arial" w:cs="Arial" w:eastAsia="Arial" w:hAnsi="Arial"/>
          <w:b/>
          <w:bCs/>
          <w:color w:val="1A7A70"/>
          <w:sz w:val="26"/>
          <w:szCs w:val="26"/>
        </w:rPr>
        <w:t xml:space="preserve">Step 2 — Assess (4-24 hours)</w:t>
      </w:r>
    </w:p>
    <w:p>
      <w:pPr>
        <w:pStyle w:val="ListParagraph"/>
        <w:numPr>
          <w:ilvl w:val="0"/>
          <w:numId w:val="2"/>
        </w:numPr>
        <w:spacing w:after="40" w:before="40"/>
      </w:pPr>
      <w:r>
        <w:rPr>
          <w:rFonts w:ascii="Arial" w:cs="Arial" w:eastAsia="Arial" w:hAnsi="Arial"/>
          <w:color w:val="111111"/>
          <w:sz w:val="22"/>
          <w:szCs w:val="22"/>
        </w:rPr>
        <w:t xml:space="preserve">Determine if personal data was accessed, exfiltrated, or destroyed</w:t>
      </w:r>
    </w:p>
    <w:p>
      <w:pPr>
        <w:pStyle w:val="ListParagraph"/>
        <w:numPr>
          <w:ilvl w:val="0"/>
          <w:numId w:val="2"/>
        </w:numPr>
        <w:spacing w:after="40" w:before="40"/>
      </w:pPr>
      <w:r>
        <w:rPr>
          <w:rFonts w:ascii="Arial" w:cs="Arial" w:eastAsia="Arial" w:hAnsi="Arial"/>
          <w:color w:val="111111"/>
          <w:sz w:val="22"/>
          <w:szCs w:val="22"/>
        </w:rPr>
        <w:t xml:space="preserve">Assess risk to individuals — is there likely harm (identity theft, distress, discrimination)?</w:t>
      </w:r>
    </w:p>
    <w:p>
      <w:pPr>
        <w:pStyle w:val="ListParagraph"/>
        <w:numPr>
          <w:ilvl w:val="0"/>
          <w:numId w:val="2"/>
        </w:numPr>
        <w:spacing w:after="40" w:before="40"/>
      </w:pPr>
      <w:r>
        <w:rPr>
          <w:rFonts w:ascii="Arial" w:cs="Arial" w:eastAsia="Arial" w:hAnsi="Arial"/>
          <w:color w:val="111111"/>
          <w:sz w:val="22"/>
          <w:szCs w:val="22"/>
        </w:rPr>
        <w:t xml:space="preserve">Document what happened, when, and what data was affected</w:t>
      </w:r>
    </w:p>
    <w:p>
      <w:pPr>
        <w:spacing w:after="0" w:before="0"/>
      </w:pPr>
      <w:r>
        <w:t xml:space="preserve"/>
      </w:r>
    </w:p>
    <w:p>
      <w:pPr>
        <w:spacing w:after="80" w:before="280"/>
      </w:pPr>
      <w:r>
        <w:rPr>
          <w:rFonts w:ascii="Arial" w:cs="Arial" w:eastAsia="Arial" w:hAnsi="Arial"/>
          <w:b/>
          <w:bCs/>
          <w:color w:val="1A7A70"/>
          <w:sz w:val="26"/>
          <w:szCs w:val="26"/>
        </w:rPr>
        <w:t xml:space="preserve">Step 3 — Notify (24-72 hours)</w:t>
      </w:r>
    </w:p>
    <w:p>
      <w:pPr>
        <w:pStyle w:val="ListParagraph"/>
        <w:numPr>
          <w:ilvl w:val="0"/>
          <w:numId w:val="2"/>
        </w:numPr>
        <w:spacing w:after="40" w:before="40"/>
      </w:pPr>
      <w:r>
        <w:rPr>
          <w:rFonts w:ascii="Arial" w:cs="Arial" w:eastAsia="Arial" w:hAnsi="Arial"/>
          <w:color w:val="111111"/>
          <w:sz w:val="22"/>
          <w:szCs w:val="22"/>
        </w:rPr>
        <w:t xml:space="preserve">If risk to individuals is likely: report to ICO at ico.org.uk/report-a-breach within 72 hours</w:t>
      </w:r>
    </w:p>
    <w:p>
      <w:pPr>
        <w:pStyle w:val="ListParagraph"/>
        <w:numPr>
          <w:ilvl w:val="0"/>
          <w:numId w:val="2"/>
        </w:numPr>
        <w:spacing w:after="40" w:before="40"/>
      </w:pPr>
      <w:r>
        <w:rPr>
          <w:rFonts w:ascii="Arial" w:cs="Arial" w:eastAsia="Arial" w:hAnsi="Arial"/>
          <w:color w:val="111111"/>
          <w:sz w:val="22"/>
          <w:szCs w:val="22"/>
        </w:rPr>
        <w:t xml:space="preserve">If high risk to individuals: notify affected individuals directly without undue delay</w:t>
      </w:r>
    </w:p>
    <w:p>
      <w:pPr>
        <w:pStyle w:val="ListParagraph"/>
        <w:numPr>
          <w:ilvl w:val="0"/>
          <w:numId w:val="2"/>
        </w:numPr>
        <w:spacing w:after="40" w:before="40"/>
      </w:pPr>
      <w:r>
        <w:rPr>
          <w:rFonts w:ascii="Arial" w:cs="Arial" w:eastAsia="Arial" w:hAnsi="Arial"/>
          <w:color w:val="111111"/>
          <w:sz w:val="22"/>
          <w:szCs w:val="22"/>
        </w:rPr>
        <w:t xml:space="preserve">If no risk: document the incident and decision not to notify — keep on file</w:t>
      </w:r>
    </w:p>
    <w:p>
      <w:pPr>
        <w:spacing w:after="0" w:before="0"/>
      </w:pPr>
      <w:r>
        <w:t xml:space="preserve"/>
      </w:r>
    </w:p>
    <w:p>
      <w:pPr>
        <w:spacing w:after="80" w:before="280"/>
      </w:pPr>
      <w:r>
        <w:rPr>
          <w:rFonts w:ascii="Arial" w:cs="Arial" w:eastAsia="Arial" w:hAnsi="Arial"/>
          <w:b/>
          <w:bCs/>
          <w:color w:val="1A7A70"/>
          <w:sz w:val="26"/>
          <w:szCs w:val="26"/>
        </w:rPr>
        <w:t xml:space="preserve">Step 4 — Recover &amp; Review</w:t>
      </w:r>
    </w:p>
    <w:p>
      <w:pPr>
        <w:pStyle w:val="ListParagraph"/>
        <w:numPr>
          <w:ilvl w:val="0"/>
          <w:numId w:val="2"/>
        </w:numPr>
        <w:spacing w:after="40" w:before="40"/>
      </w:pPr>
      <w:r>
        <w:rPr>
          <w:rFonts w:ascii="Arial" w:cs="Arial" w:eastAsia="Arial" w:hAnsi="Arial"/>
          <w:color w:val="111111"/>
          <w:sz w:val="22"/>
          <w:szCs w:val="22"/>
        </w:rPr>
        <w:t xml:space="preserve">Fix the root cause</w:t>
      </w:r>
    </w:p>
    <w:p>
      <w:pPr>
        <w:pStyle w:val="ListParagraph"/>
        <w:numPr>
          <w:ilvl w:val="0"/>
          <w:numId w:val="2"/>
        </w:numPr>
        <w:spacing w:after="40" w:before="40"/>
      </w:pPr>
      <w:r>
        <w:rPr>
          <w:rFonts w:ascii="Arial" w:cs="Arial" w:eastAsia="Arial" w:hAnsi="Arial"/>
          <w:color w:val="111111"/>
          <w:sz w:val="22"/>
          <w:szCs w:val="22"/>
        </w:rPr>
        <w:t xml:space="preserve">Update security controls to prevent recurrence</w:t>
      </w:r>
    </w:p>
    <w:p>
      <w:pPr>
        <w:pStyle w:val="ListParagraph"/>
        <w:numPr>
          <w:ilvl w:val="0"/>
          <w:numId w:val="2"/>
        </w:numPr>
        <w:spacing w:after="40" w:before="40"/>
      </w:pPr>
      <w:r>
        <w:rPr>
          <w:rFonts w:ascii="Arial" w:cs="Arial" w:eastAsia="Arial" w:hAnsi="Arial"/>
          <w:color w:val="111111"/>
          <w:sz w:val="22"/>
          <w:szCs w:val="22"/>
        </w:rPr>
        <w:t xml:space="preserve">Update this register with incident details and remediation</w:t>
      </w:r>
    </w:p>
    <w:p>
      <w:pPr>
        <w:pStyle w:val="ListParagraph"/>
        <w:numPr>
          <w:ilvl w:val="0"/>
          <w:numId w:val="2"/>
        </w:numPr>
        <w:spacing w:after="40" w:before="40"/>
      </w:pPr>
      <w:r>
        <w:rPr>
          <w:rFonts w:ascii="Arial" w:cs="Arial" w:eastAsia="Arial" w:hAnsi="Arial"/>
          <w:color w:val="111111"/>
          <w:sz w:val="22"/>
          <w:szCs w:val="22"/>
        </w:rPr>
        <w:t xml:space="preserve">Review annually or after any significant change to the system</w:t>
      </w:r>
    </w:p>
    <w:p>
      <w:pPr>
        <w:spacing w:after="0" w:before="0"/>
      </w:pPr>
      <w:r>
        <w:t xml:space="preserve"/>
      </w:r>
    </w:p>
    <w:p>
      <w:pPr>
        <w:spacing w:after="60" w:before="0"/>
      </w:pPr>
      <w:r>
        <w:rPr>
          <w:rFonts w:ascii="Arial" w:cs="Arial" w:eastAsia="Arial" w:hAnsi="Arial"/>
          <w:b/>
          <w:bCs/>
          <w:color w:val="0F2D38"/>
          <w:sz w:val="22"/>
          <w:szCs w:val="22"/>
        </w:rPr>
        <w:t xml:space="preserve">Data Protection Contact: </w:t>
      </w:r>
      <w:r>
        <w:rPr>
          <w:rFonts w:ascii="Arial" w:cs="Arial" w:eastAsia="Arial" w:hAnsi="Arial"/>
          <w:color w:val="111111"/>
          <w:sz w:val="22"/>
          <w:szCs w:val="22"/>
        </w:rPr>
        <w:t xml:space="preserve">Giuseppe Lucarelli  ·  contact@syncgocalendar.com</w:t>
      </w:r>
    </w:p>
    <w:p>
      <w:pPr>
        <w:spacing w:after="0" w:before="0"/>
      </w:pPr>
      <w:r>
        <w:t xml:space="preserve"/>
      </w:r>
    </w:p>
    <w:p>
      <w:pPr>
        <w:spacing w:after="0" w:before="0"/>
      </w:pPr>
      <w:r>
        <w:t xml:space="preserve"/>
      </w:r>
    </w:p>
    <w:p>
      <w:pPr>
        <w:pBdr>
          <w:bottom w:val="single" w:color="1A7A70" w:sz="8" w:space="4"/>
        </w:pBdr>
        <w:spacing w:after="120" w:before="400"/>
      </w:pPr>
      <w:r>
        <w:rPr>
          <w:rFonts w:ascii="Arial" w:cs="Arial" w:eastAsia="Arial" w:hAnsi="Arial"/>
          <w:b/>
          <w:bCs/>
          <w:color w:val="0F2D38"/>
          <w:sz w:val="32"/>
          <w:szCs w:val="32"/>
        </w:rPr>
        <w:t xml:space="preserve">7. Review Log</w:t>
      </w:r>
    </w:p>
    <w:p>
      <w:pPr>
        <w:spacing w:after="100" w:before="60"/>
      </w:pPr>
      <w:r>
        <w:rPr>
          <w:rFonts w:ascii="Arial" w:cs="Arial" w:eastAsia="Arial" w:hAnsi="Arial"/>
          <w:color w:val="111111"/>
          <w:sz w:val="22"/>
          <w:szCs w:val="22"/>
        </w:rPr>
        <w:t xml:space="preserve">This register should be reviewed and updated whenever: a significant new feature is added; a new data flow is introduced; a security incident occurs; or at minimum every 6 months.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026"/>
      </w:tblGrid>
      <w:tr>
        <w:tc>
          <w:tcPr>
            <w:tcW w:type="dxa" w:w="1500"/>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500"/>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Reviewed by</w:t>
            </w:r>
          </w:p>
        </w:tc>
        <w:tc>
          <w:tcPr>
            <w:tcW w:type="dxa" w:w="2000"/>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026"/>
            <w:tcBorders>
              <w:top w:val="single" w:color="0F2D38" w:sz="1"/>
              <w:left w:val="single" w:color="0F2D38" w:sz="1"/>
              <w:bottom w:val="single" w:color="0F2D38" w:sz="1"/>
              <w:right w:val="single" w:color="0F2D38" w:sz="1"/>
            </w:tcBorders>
            <w:shd w:fill="0F2D38"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June 2026</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Giuseppe Lucarelli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0F2D38"/>
                <w:sz w:val="20"/>
                <w:szCs w:val="20"/>
              </w:rPr>
              <w:t xml:space="preserve">1.0 — Initial</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Initial register created. Phase 1 security rules deployed. GDPR obligations documented.</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
            </w:r>
          </w:p>
        </w:tc>
        <w:tc>
          <w:tcPr>
            <w:tcW w:type="dxa" w:w="4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
            </w:r>
          </w:p>
        </w:tc>
      </w:tr>
    </w:tbl>
    <w:p>
      <w:pPr>
        <w:spacing w:after="0" w:before="0"/>
      </w:pPr>
      <w:r>
        <w:t xml:space="preserve"/>
      </w:r>
    </w:p>
    <w:p>
      <w:pPr>
        <w:spacing w:after="0" w:before="0"/>
      </w:pPr>
      <w:r>
        <w:t xml:space="preserve"/>
      </w:r>
    </w:p>
    <w:p>
      <w:pPr>
        <w:spacing w:before="480"/>
        <w:jc w:val="center"/>
      </w:pPr>
      <w:r>
        <w:rPr>
          <w:rFonts w:ascii="Arial" w:cs="Arial" w:eastAsia="Arial" w:hAnsi="Arial"/>
          <w:color w:val="999999"/>
          <w:sz w:val="18"/>
          <w:szCs w:val="18"/>
        </w:rPr>
        <w:t xml:space="preserve">Family Hub  ·  Security &amp; Compliance Register v1.0  ·  June 2026  ·  Confidential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2026-06-29T12:28:08.645Z</dcterms:created>
  <dcterms:modified xsi:type="dcterms:W3CDTF">2026-06-29T12:28:08.680Z</dcterms:modified>
</cp:coreProperties>
</file>

<file path=docProps/custom.xml><?xml version="1.0" encoding="utf-8"?>
<Properties xmlns="http://schemas.openxmlformats.org/officeDocument/2006/custom-properties" xmlns:vt="http://schemas.openxmlformats.org/officeDocument/2006/docPropsVTypes"/>
</file>