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125D" w14:textId="5B621AD2" w:rsidR="007A48A2" w:rsidRDefault="00593C0E" w:rsidP="00593C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3C0E">
        <w:rPr>
          <w:rFonts w:ascii="Times New Roman" w:hAnsi="Times New Roman" w:cs="Times New Roman"/>
          <w:b/>
          <w:bCs/>
          <w:sz w:val="40"/>
          <w:szCs w:val="40"/>
        </w:rPr>
        <w:t>Glossario</w:t>
      </w:r>
    </w:p>
    <w:p w14:paraId="5DABCA58" w14:textId="227E8CEE" w:rsidR="00593C0E" w:rsidRDefault="00593C0E" w:rsidP="00593C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13CB5" w14:textId="3D8FF9B0" w:rsid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C0E">
        <w:rPr>
          <w:rFonts w:ascii="Times New Roman" w:hAnsi="Times New Roman" w:cs="Times New Roman"/>
          <w:b/>
          <w:bCs/>
          <w:sz w:val="28"/>
          <w:szCs w:val="28"/>
        </w:rPr>
        <w:t>Definizioni</w:t>
      </w:r>
    </w:p>
    <w:p w14:paraId="576AA03D" w14:textId="3092330E" w:rsid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9941" w:type="dxa"/>
        <w:tblLook w:val="04A0" w:firstRow="1" w:lastRow="0" w:firstColumn="1" w:lastColumn="0" w:noHBand="0" w:noVBand="1"/>
      </w:tblPr>
      <w:tblGrid>
        <w:gridCol w:w="2776"/>
        <w:gridCol w:w="7165"/>
      </w:tblGrid>
      <w:tr w:rsidR="00593C0E" w14:paraId="06A7C187" w14:textId="77777777" w:rsidTr="009A5381">
        <w:trPr>
          <w:trHeight w:val="340"/>
        </w:trPr>
        <w:tc>
          <w:tcPr>
            <w:tcW w:w="2776" w:type="dxa"/>
            <w:shd w:val="clear" w:color="auto" w:fill="8EAADB" w:themeFill="accent1" w:themeFillTint="99"/>
          </w:tcPr>
          <w:p w14:paraId="2B38EA76" w14:textId="4672BFE4" w:rsidR="00593C0E" w:rsidRPr="00593C0E" w:rsidRDefault="00593C0E" w:rsidP="00593C0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Termine</w:t>
            </w:r>
          </w:p>
        </w:tc>
        <w:tc>
          <w:tcPr>
            <w:tcW w:w="7165" w:type="dxa"/>
            <w:shd w:val="clear" w:color="auto" w:fill="8EAADB" w:themeFill="accent1" w:themeFillTint="99"/>
          </w:tcPr>
          <w:p w14:paraId="4187828A" w14:textId="7C8879F8" w:rsidR="00593C0E" w:rsidRPr="00593C0E" w:rsidRDefault="00593C0E" w:rsidP="00593C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93C0E">
              <w:rPr>
                <w:rFonts w:cstheme="minorHAnsi"/>
                <w:b/>
                <w:bCs/>
                <w:sz w:val="28"/>
                <w:szCs w:val="28"/>
              </w:rPr>
              <w:t>Definizione</w:t>
            </w:r>
          </w:p>
        </w:tc>
      </w:tr>
      <w:tr w:rsidR="00593C0E" w14:paraId="7F6FAC51" w14:textId="77777777" w:rsidTr="009A5381">
        <w:trPr>
          <w:trHeight w:val="603"/>
        </w:trPr>
        <w:tc>
          <w:tcPr>
            <w:tcW w:w="2776" w:type="dxa"/>
            <w:shd w:val="clear" w:color="auto" w:fill="F2F2F2" w:themeFill="background1" w:themeFillShade="F2"/>
          </w:tcPr>
          <w:p w14:paraId="6CB7FFE7" w14:textId="75C931C2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Gioco dell’Oca</w:t>
            </w:r>
          </w:p>
        </w:tc>
        <w:tc>
          <w:tcPr>
            <w:tcW w:w="7165" w:type="dxa"/>
          </w:tcPr>
          <w:p w14:paraId="69E13308" w14:textId="70CB99E7" w:rsidR="00593C0E" w:rsidRDefault="00047E5D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 xml:space="preserve">appresenta l’applicazione del gioco </w:t>
            </w:r>
            <w:r w:rsidR="00E648CC" w:rsidRPr="00E648CC">
              <w:rPr>
                <w:i/>
                <w:iCs/>
                <w:sz w:val="24"/>
                <w:szCs w:val="24"/>
              </w:rPr>
              <w:t>Gioco dell’Oca</w:t>
            </w:r>
          </w:p>
        </w:tc>
      </w:tr>
      <w:tr w:rsidR="00D632CF" w14:paraId="5F90BFB8" w14:textId="77777777" w:rsidTr="009A5381">
        <w:trPr>
          <w:trHeight w:val="603"/>
        </w:trPr>
        <w:tc>
          <w:tcPr>
            <w:tcW w:w="2776" w:type="dxa"/>
            <w:shd w:val="clear" w:color="auto" w:fill="F2F2F2" w:themeFill="background1" w:themeFillShade="F2"/>
          </w:tcPr>
          <w:p w14:paraId="58504C36" w14:textId="4E81F6CA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Tabellone</w:t>
            </w:r>
          </w:p>
        </w:tc>
        <w:tc>
          <w:tcPr>
            <w:tcW w:w="7165" w:type="dxa"/>
          </w:tcPr>
          <w:p w14:paraId="1B888631" w14:textId="79C388CF" w:rsidR="00D632CF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il luogo in cui viene svolto il gioco</w:t>
            </w:r>
            <w:r w:rsidR="00E648CC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È</w:t>
            </w:r>
            <w:r w:rsidR="00E648CC">
              <w:rPr>
                <w:sz w:val="24"/>
                <w:szCs w:val="24"/>
              </w:rPr>
              <w:t xml:space="preserve"> composto da 63 caselle numerate</w:t>
            </w:r>
          </w:p>
        </w:tc>
      </w:tr>
      <w:tr w:rsidR="00593C0E" w14:paraId="7301D8A7" w14:textId="77777777" w:rsidTr="009A5381">
        <w:trPr>
          <w:trHeight w:val="897"/>
        </w:trPr>
        <w:tc>
          <w:tcPr>
            <w:tcW w:w="2776" w:type="dxa"/>
            <w:shd w:val="clear" w:color="auto" w:fill="F2F2F2" w:themeFill="background1" w:themeFillShade="F2"/>
          </w:tcPr>
          <w:p w14:paraId="7A32ADA3" w14:textId="70A785FA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</w:t>
            </w:r>
          </w:p>
        </w:tc>
        <w:tc>
          <w:tcPr>
            <w:tcW w:w="7165" w:type="dxa"/>
          </w:tcPr>
          <w:p w14:paraId="053C3D21" w14:textId="2CF195B6" w:rsidR="00593C0E" w:rsidRDefault="00047E5D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una generica casella nel tabellone di gioco, caratterizzata da un nome e da un numero intero</w:t>
            </w:r>
            <w:r w:rsidR="000D4850">
              <w:rPr>
                <w:sz w:val="24"/>
                <w:szCs w:val="24"/>
              </w:rPr>
              <w:t>, ovvero il suo indice</w:t>
            </w:r>
            <w:r w:rsidR="00E648CC" w:rsidRPr="00E648CC">
              <w:rPr>
                <w:sz w:val="24"/>
                <w:szCs w:val="24"/>
              </w:rPr>
              <w:t xml:space="preserve">. In totale sono presenti 63 caselle </w:t>
            </w:r>
            <w:r w:rsidR="00FF5087">
              <w:rPr>
                <w:sz w:val="24"/>
                <w:szCs w:val="24"/>
              </w:rPr>
              <w:t>sul</w:t>
            </w:r>
            <w:r w:rsidR="00E648CC" w:rsidRPr="00E648CC">
              <w:rPr>
                <w:sz w:val="24"/>
                <w:szCs w:val="24"/>
              </w:rPr>
              <w:t xml:space="preserve"> tabellone</w:t>
            </w:r>
          </w:p>
        </w:tc>
      </w:tr>
      <w:tr w:rsidR="004E234A" w14:paraId="0EC0A3E2" w14:textId="77777777" w:rsidTr="00150F79">
        <w:trPr>
          <w:trHeight w:val="705"/>
        </w:trPr>
        <w:tc>
          <w:tcPr>
            <w:tcW w:w="2776" w:type="dxa"/>
            <w:shd w:val="clear" w:color="auto" w:fill="F2F2F2" w:themeFill="background1" w:themeFillShade="F2"/>
          </w:tcPr>
          <w:p w14:paraId="2A3B00DF" w14:textId="387786B5" w:rsidR="004E234A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Casella </w:t>
            </w:r>
            <w:r w:rsidR="00FF5087">
              <w:rPr>
                <w:rFonts w:cstheme="minorHAnsi"/>
                <w:b/>
                <w:bCs/>
                <w:sz w:val="24"/>
                <w:szCs w:val="24"/>
              </w:rPr>
              <w:t>Regolare</w:t>
            </w:r>
          </w:p>
        </w:tc>
        <w:tc>
          <w:tcPr>
            <w:tcW w:w="7165" w:type="dxa"/>
          </w:tcPr>
          <w:p w14:paraId="349D39D6" w14:textId="1F995599" w:rsidR="004E234A" w:rsidRDefault="00FF5087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>appresenta</w:t>
            </w:r>
            <w:r>
              <w:rPr>
                <w:sz w:val="24"/>
                <w:szCs w:val="24"/>
              </w:rPr>
              <w:t xml:space="preserve"> una casella alla quale non è associata nessuna istruzione particolare.</w:t>
            </w:r>
          </w:p>
        </w:tc>
      </w:tr>
      <w:tr w:rsidR="00D632CF" w14:paraId="7FFA5EDA" w14:textId="77777777" w:rsidTr="00150F79">
        <w:trPr>
          <w:trHeight w:val="644"/>
        </w:trPr>
        <w:tc>
          <w:tcPr>
            <w:tcW w:w="2776" w:type="dxa"/>
            <w:shd w:val="clear" w:color="auto" w:fill="F2F2F2" w:themeFill="background1" w:themeFillShade="F2"/>
          </w:tcPr>
          <w:p w14:paraId="04F0F1B7" w14:textId="0B1F7D24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Arrivo</w:t>
            </w:r>
          </w:p>
        </w:tc>
        <w:tc>
          <w:tcPr>
            <w:tcW w:w="7165" w:type="dxa"/>
          </w:tcPr>
          <w:p w14:paraId="2A75B054" w14:textId="2E2713D8" w:rsidR="00D632CF" w:rsidRDefault="00B60C44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50F79" w:rsidRPr="00150F79">
              <w:rPr>
                <w:sz w:val="24"/>
                <w:szCs w:val="24"/>
              </w:rPr>
              <w:t>appresenta l’ultima casella, la numero 63. Il primo giocatore che arriva su di essa (o la supera) vince la partita</w:t>
            </w:r>
          </w:p>
        </w:tc>
      </w:tr>
      <w:tr w:rsidR="00D632CF" w14:paraId="6B469D45" w14:textId="77777777" w:rsidTr="00150F79">
        <w:trPr>
          <w:trHeight w:val="611"/>
        </w:trPr>
        <w:tc>
          <w:tcPr>
            <w:tcW w:w="2776" w:type="dxa"/>
            <w:shd w:val="clear" w:color="auto" w:fill="F2F2F2" w:themeFill="background1" w:themeFillShade="F2"/>
          </w:tcPr>
          <w:p w14:paraId="748FF558" w14:textId="350A26DA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Avanti</w:t>
            </w:r>
          </w:p>
        </w:tc>
        <w:tc>
          <w:tcPr>
            <w:tcW w:w="7165" w:type="dxa"/>
          </w:tcPr>
          <w:p w14:paraId="51C41AD7" w14:textId="26D1B935" w:rsidR="00D632CF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una casella che ha associata l’istruzione di avanzare di un certo numero X di caselle</w:t>
            </w:r>
          </w:p>
        </w:tc>
      </w:tr>
      <w:tr w:rsidR="00593C0E" w14:paraId="7F28973D" w14:textId="77777777" w:rsidTr="00047E5D">
        <w:trPr>
          <w:trHeight w:val="685"/>
        </w:trPr>
        <w:tc>
          <w:tcPr>
            <w:tcW w:w="2776" w:type="dxa"/>
            <w:shd w:val="clear" w:color="auto" w:fill="F2F2F2" w:themeFill="background1" w:themeFillShade="F2"/>
          </w:tcPr>
          <w:p w14:paraId="28E16B51" w14:textId="6877298C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Indietro</w:t>
            </w:r>
          </w:p>
        </w:tc>
        <w:tc>
          <w:tcPr>
            <w:tcW w:w="7165" w:type="dxa"/>
          </w:tcPr>
          <w:p w14:paraId="6ADEC496" w14:textId="1B5513F0" w:rsidR="00D632CF" w:rsidRPr="00D632CF" w:rsidRDefault="00047E5D" w:rsidP="00593C0E">
            <w:pPr>
              <w:rPr>
                <w:sz w:val="24"/>
                <w:szCs w:val="24"/>
              </w:rPr>
            </w:pPr>
            <w:r w:rsidRPr="00047E5D">
              <w:rPr>
                <w:sz w:val="24"/>
                <w:szCs w:val="24"/>
              </w:rPr>
              <w:t>r</w:t>
            </w:r>
            <w:r w:rsidR="00E648CC" w:rsidRPr="00047E5D">
              <w:rPr>
                <w:sz w:val="24"/>
                <w:szCs w:val="24"/>
              </w:rPr>
              <w:t>appresenta una casella che ha associata l’istruzione di andare indietro di un certo numero Y di caselle</w:t>
            </w:r>
          </w:p>
        </w:tc>
      </w:tr>
      <w:tr w:rsidR="00593C0E" w14:paraId="436B5943" w14:textId="77777777" w:rsidTr="00047E5D">
        <w:trPr>
          <w:trHeight w:val="992"/>
        </w:trPr>
        <w:tc>
          <w:tcPr>
            <w:tcW w:w="2776" w:type="dxa"/>
            <w:shd w:val="clear" w:color="auto" w:fill="F2F2F2" w:themeFill="background1" w:themeFillShade="F2"/>
          </w:tcPr>
          <w:p w14:paraId="533EFCF7" w14:textId="45D405BA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</w:t>
            </w:r>
          </w:p>
        </w:tc>
        <w:tc>
          <w:tcPr>
            <w:tcW w:w="7165" w:type="dxa"/>
          </w:tcPr>
          <w:p w14:paraId="327B68AC" w14:textId="6B36D9F4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 xml:space="preserve">appresenta un dado </w:t>
            </w:r>
            <w:r w:rsidR="00863C81">
              <w:rPr>
                <w:sz w:val="24"/>
                <w:szCs w:val="24"/>
              </w:rPr>
              <w:t>con</w:t>
            </w:r>
            <w:r w:rsidRPr="00E648CC">
              <w:rPr>
                <w:sz w:val="24"/>
                <w:szCs w:val="24"/>
              </w:rPr>
              <w:t xml:space="preserve"> </w:t>
            </w:r>
            <w:r w:rsidR="00863C81">
              <w:rPr>
                <w:sz w:val="24"/>
                <w:szCs w:val="24"/>
              </w:rPr>
              <w:t>sei</w:t>
            </w:r>
            <w:r w:rsidRPr="00E648CC">
              <w:rPr>
                <w:sz w:val="24"/>
                <w:szCs w:val="24"/>
              </w:rPr>
              <w:t xml:space="preserve"> facce, utilizzato in ogni turno da ciascun giocatore. Il suo valore dopo un lancio indica di quante caselle dovrà avanzare il giocatore con la propria pedina</w:t>
            </w:r>
          </w:p>
        </w:tc>
      </w:tr>
      <w:tr w:rsidR="00593C0E" w14:paraId="5A452477" w14:textId="77777777" w:rsidTr="00E648CC">
        <w:trPr>
          <w:trHeight w:val="957"/>
        </w:trPr>
        <w:tc>
          <w:tcPr>
            <w:tcW w:w="2776" w:type="dxa"/>
            <w:shd w:val="clear" w:color="auto" w:fill="F2F2F2" w:themeFill="background1" w:themeFillShade="F2"/>
          </w:tcPr>
          <w:p w14:paraId="084C43D3" w14:textId="713441ED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Pedina</w:t>
            </w:r>
          </w:p>
        </w:tc>
        <w:tc>
          <w:tcPr>
            <w:tcW w:w="7165" w:type="dxa"/>
          </w:tcPr>
          <w:p w14:paraId="70D29904" w14:textId="5629468A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>appresenta l’oggetto utilizzato da ogni giocatore per spostarsi tra le varie caselle presenti nel tabellone di gioco. Ciascun giocatore ne può avere una soltanto</w:t>
            </w:r>
          </w:p>
        </w:tc>
      </w:tr>
      <w:tr w:rsidR="00593C0E" w14:paraId="282E3333" w14:textId="77777777" w:rsidTr="00E648CC">
        <w:trPr>
          <w:trHeight w:val="715"/>
        </w:trPr>
        <w:tc>
          <w:tcPr>
            <w:tcW w:w="2776" w:type="dxa"/>
            <w:shd w:val="clear" w:color="auto" w:fill="F2F2F2" w:themeFill="background1" w:themeFillShade="F2"/>
          </w:tcPr>
          <w:p w14:paraId="2994C65E" w14:textId="37CC5378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7165" w:type="dxa"/>
          </w:tcPr>
          <w:p w14:paraId="4B8AD585" w14:textId="47A30900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 xml:space="preserve">appresenta </w:t>
            </w:r>
            <w:r w:rsidR="00047E5D">
              <w:rPr>
                <w:sz w:val="24"/>
                <w:szCs w:val="24"/>
              </w:rPr>
              <w:t>uno dei possibili giocatori che partecipano alla partita. Per il Gioco dell’Oca, possono partecipare da 2 a 6 giocatori</w:t>
            </w:r>
          </w:p>
        </w:tc>
      </w:tr>
      <w:tr w:rsidR="00593C0E" w14:paraId="3525448E" w14:textId="77777777" w:rsidTr="00F875D1">
        <w:trPr>
          <w:trHeight w:val="975"/>
        </w:trPr>
        <w:tc>
          <w:tcPr>
            <w:tcW w:w="2776" w:type="dxa"/>
            <w:shd w:val="clear" w:color="auto" w:fill="F2F2F2" w:themeFill="background1" w:themeFillShade="F2"/>
          </w:tcPr>
          <w:p w14:paraId="0F6EE3E0" w14:textId="69C861A9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7165" w:type="dxa"/>
          </w:tcPr>
          <w:p w14:paraId="2C28D2A1" w14:textId="4F7F08D1" w:rsidR="00593C0E" w:rsidRPr="00E648CC" w:rsidRDefault="00047E5D" w:rsidP="00593C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E648CC">
              <w:rPr>
                <w:rFonts w:cstheme="minorHAnsi"/>
                <w:sz w:val="24"/>
                <w:szCs w:val="24"/>
              </w:rPr>
              <w:t>appresenta l’attore che avvia la simulazione della partita, definendo il numero di giocatori che partecipano. Controlla l’avanzamento dei vari passi della simulazione della partita</w:t>
            </w:r>
          </w:p>
        </w:tc>
      </w:tr>
    </w:tbl>
    <w:p w14:paraId="73BD7354" w14:textId="77777777" w:rsidR="00593C0E" w:rsidRP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3C0E" w:rsidRPr="00593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4"/>
    <w:rsid w:val="00047E5D"/>
    <w:rsid w:val="000D4850"/>
    <w:rsid w:val="00150F79"/>
    <w:rsid w:val="002146E3"/>
    <w:rsid w:val="002706CC"/>
    <w:rsid w:val="002A6184"/>
    <w:rsid w:val="002A6DE0"/>
    <w:rsid w:val="004E234A"/>
    <w:rsid w:val="00593C0E"/>
    <w:rsid w:val="007A48A2"/>
    <w:rsid w:val="00863C81"/>
    <w:rsid w:val="00940CA8"/>
    <w:rsid w:val="009A5381"/>
    <w:rsid w:val="00AE72F5"/>
    <w:rsid w:val="00B13C3A"/>
    <w:rsid w:val="00B60C44"/>
    <w:rsid w:val="00C44358"/>
    <w:rsid w:val="00D632CF"/>
    <w:rsid w:val="00E648CC"/>
    <w:rsid w:val="00F875D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3D0E"/>
  <w15:chartTrackingRefBased/>
  <w15:docId w15:val="{A76A9B86-04E4-4B0B-9384-EA2C458F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9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GIUFFRIDA</dc:creator>
  <cp:keywords/>
  <dc:description/>
  <cp:lastModifiedBy>GIUSEPPE GIUFFRIDA</cp:lastModifiedBy>
  <cp:revision>19</cp:revision>
  <dcterms:created xsi:type="dcterms:W3CDTF">2021-01-19T11:39:00Z</dcterms:created>
  <dcterms:modified xsi:type="dcterms:W3CDTF">2021-02-19T09:27:00Z</dcterms:modified>
</cp:coreProperties>
</file>