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line="276"/>
        <w:jc w:val="both"/>
      </w:pPr>
      <w:r>
        <w:rPr>
          <w:rFonts w:ascii="Arial" w:cs="Arial" w:eastAsia="Arial" w:hAnsi="Arial"/>
          <w:sz w:val="22"/>
          <w:szCs w:val="22"/>
        </w:rPr>
        <w:t xml:space="preserve"/>
      </w:r>
    </w:p>
    <w:p>
      <w:pPr>
        <w:spacing w:after="300" w:before="0" w:line="276"/>
        <w:jc w:val="center"/>
      </w:pPr>
      <w:r>
        <w:rPr>
          <w:rFonts w:ascii="Arial" w:cs="Arial" w:eastAsia="Arial" w:hAnsi="Arial"/>
          <w:b/>
          <w:bCs/>
          <w:sz w:val="34"/>
          <w:szCs w:val="34"/>
        </w:rPr>
        <w:t xml:space="preserve">Empirical Summary for Supervisor Review</w:t>
      </w:r>
    </w:p>
    <w:p>
      <w:pPr>
        <w:spacing w:after="200" w:before="0" w:line="276"/>
        <w:jc w:val="both"/>
      </w:pPr>
      <w:r>
        <w:rPr>
          <w:rFonts w:ascii="Arial" w:cs="Arial" w:eastAsia="Arial" w:hAnsi="Arial"/>
          <w:sz w:val="22"/>
          <w:szCs w:val="22"/>
        </w:rPr>
        <w:t xml:space="preserve"/>
      </w:r>
    </w:p>
    <w:p>
      <w:pPr>
        <w:spacing w:after="60" w:before="0" w:line="276"/>
        <w:jc w:val="center"/>
      </w:pPr>
      <w:r>
        <w:rPr>
          <w:rFonts w:ascii="Arial" w:cs="Arial" w:eastAsia="Arial" w:hAnsi="Arial"/>
          <w:sz w:val="26"/>
          <w:szCs w:val="26"/>
        </w:rPr>
        <w:t xml:space="preserve">Target Disclosure Quality and M&amp;A Outcomes:</w:t>
      </w:r>
    </w:p>
    <w:p>
      <w:pPr>
        <w:spacing w:after="400" w:before="0" w:line="276"/>
        <w:jc w:val="center"/>
      </w:pPr>
      <w:r>
        <w:rPr>
          <w:rFonts w:ascii="Arial" w:cs="Arial" w:eastAsia="Arial" w:hAnsi="Arial"/>
          <w:sz w:val="26"/>
          <w:szCs w:val="26"/>
        </w:rPr>
        <w:t xml:space="preserve">Evidence from Textual Analysis of Pre-Announcement 10-K Filings</w:t>
      </w:r>
    </w:p>
    <w:p>
      <w:pPr>
        <w:spacing w:after="600" w:before="0" w:line="276"/>
        <w:jc w:val="both"/>
      </w:pPr>
      <w:r>
        <w:rPr>
          <w:rFonts w:ascii="Arial" w:cs="Arial" w:eastAsia="Arial" w:hAnsi="Arial"/>
          <w:sz w:val="22"/>
          <w:szCs w:val="22"/>
        </w:rPr>
        <w:t xml:space="preserve"/>
      </w:r>
    </w:p>
    <w:p>
      <w:pPr>
        <w:spacing w:after="200" w:before="0" w:line="276"/>
        <w:jc w:val="center"/>
      </w:pPr>
      <w:r>
        <w:rPr>
          <w:rFonts w:ascii="Arial" w:cs="Arial" w:eastAsia="Arial" w:hAnsi="Arial"/>
          <w:i/>
          <w:iCs/>
          <w:sz w:val="22"/>
          <w:szCs w:val="22"/>
        </w:rPr>
        <w:t xml:space="preserve">Methodology, Empirical Results, and Interpretive Narrative</w:t>
      </w:r>
    </w:p>
    <w:p>
      <w:pPr>
        <w:spacing w:after="1200" w:before="0" w:line="276"/>
        <w:jc w:val="both"/>
      </w:pPr>
      <w:r>
        <w:rPr>
          <w:rFonts w:ascii="Arial" w:cs="Arial" w:eastAsia="Arial" w:hAnsi="Arial"/>
          <w:sz w:val="22"/>
          <w:szCs w:val="22"/>
        </w:rPr>
        <w:t xml:space="preserve"/>
      </w:r>
    </w:p>
    <w:p>
      <w:pPr>
        <w:spacing w:after="100" w:before="0" w:line="276"/>
        <w:jc w:val="center"/>
      </w:pPr>
      <w:r>
        <w:rPr>
          <w:rFonts w:ascii="Arial" w:cs="Arial" w:eastAsia="Arial" w:hAnsi="Arial"/>
          <w:sz w:val="20"/>
          <w:szCs w:val="20"/>
        </w:rPr>
        <w:t xml:space="preserve">Version: </w:t>
      </w:r>
      <w:r>
        <w:rPr>
          <w:rFonts w:ascii="Arial" w:cs="Arial" w:eastAsia="Arial" w:hAnsi="Arial"/>
          <w:i/>
          <w:iCs/>
          <w:sz w:val="20"/>
          <w:szCs w:val="20"/>
        </w:rPr>
        <w:t xml:space="preserve">February 2026 — Post-estimation draft</w:t>
      </w:r>
    </w:p>
    <w:p>
      <w:pPr>
        <w:spacing w:after="120" w:before="0" w:line="276"/>
        <w:jc w:val="center"/>
      </w:pPr>
      <w:r>
        <w:rPr>
          <w:rFonts w:ascii="Arial" w:cs="Arial" w:eastAsia="Arial" w:hAnsi="Arial"/>
          <w:i/>
          <w:iCs/>
          <w:color w:val="666666"/>
          <w:sz w:val="20"/>
          <w:szCs w:val="20"/>
        </w:rPr>
        <w:t xml:space="preserve">Pipeline v6 — All results reproduced from idempotent R scripts</w:t>
      </w:r>
    </w:p>
    <w:p>
      <w:pPr>
        <w:sectPr>
          <w:pgSz w:w="12240" w:h="15840" w:orient="portrait"/>
          <w:pgMar w:top="1440" w:right="1440" w:bottom="1440" w:left="1440" w:header="708" w:footer="708" w:gutter="0"/>
          <w:pgNumType/>
          <w:docGrid w:linePitch="360"/>
        </w:sectPr>
      </w:pPr>
    </w:p>
    <w:p>
      <w:pPr>
        <w:pStyle w:val="Heading1"/>
        <w:spacing w:after="160" w:before="300" w:line="276"/>
        <w:jc w:val="both"/>
      </w:pPr>
      <w:r>
        <w:rPr>
          <w:rFonts w:ascii="Arial" w:cs="Arial" w:eastAsia="Arial" w:hAnsi="Arial"/>
          <w:b/>
          <w:bCs/>
          <w:sz w:val="28"/>
          <w:szCs w:val="28"/>
        </w:rPr>
        <w:t xml:space="preserve">1. Research Overview</w:t>
      </w:r>
    </w:p>
    <w:p>
      <w:pPr>
        <w:spacing w:after="120" w:before="0" w:line="276"/>
        <w:jc w:val="both"/>
      </w:pPr>
      <w:r>
        <w:rPr>
          <w:rFonts w:ascii="Arial" w:cs="Arial" w:eastAsia="Arial" w:hAnsi="Arial"/>
          <w:sz w:val="22"/>
          <w:szCs w:val="22"/>
        </w:rPr>
        <w:t xml:space="preserve">This memo summarises the methodology, estimation results, and interpretive narrative for my MSc thesis on the relationship between the quality of a target firm’s routine pre-announcement disclosure and three M&amp;A outcomes: the bid premium, deal completion probability, and time-to-close. The analysis is based on 4,186 announced M&amp;A transactions involving US-listed targets, each matched to the most recent Form 10-K filed before the announcement. All disclosure measures are constructed exclusively from MD&amp;A and Item 1A Risk Factors using bag-of-words and dictionary-based NLP methods.</w:t>
      </w:r>
    </w:p>
    <w:p>
      <w:pPr>
        <w:spacing w:after="120" w:before="0" w:line="276"/>
        <w:jc w:val="both"/>
      </w:pPr>
      <w:r>
        <w:rPr>
          <w:rFonts w:ascii="Arial" w:cs="Arial" w:eastAsia="Arial" w:hAnsi="Arial"/>
          <w:sz w:val="22"/>
          <w:szCs w:val="22"/>
        </w:rPr>
        <w:t xml:space="preserve">The empirical design is strictly associational. No causal claims are made. All results are conditional on a deal being announced and are interpreted within the framework of the disclosure and M&amp;A literatures.</w:t>
      </w:r>
    </w:p>
    <w:p>
      <w:pPr>
        <w:pStyle w:val="Heading1"/>
        <w:spacing w:after="160" w:before="300" w:line="276"/>
        <w:jc w:val="both"/>
      </w:pPr>
      <w:r>
        <w:rPr>
          <w:rFonts w:ascii="Arial" w:cs="Arial" w:eastAsia="Arial" w:hAnsi="Arial"/>
          <w:b/>
          <w:bCs/>
          <w:sz w:val="28"/>
          <w:szCs w:val="28"/>
        </w:rPr>
        <w:t xml:space="preserve">2. Sample Construction</w:t>
      </w:r>
    </w:p>
    <w:p>
      <w:pPr>
        <w:spacing w:after="120" w:before="0" w:line="276"/>
        <w:jc w:val="both"/>
      </w:pPr>
      <w:r>
        <w:rPr>
          <w:rFonts w:ascii="Arial" w:cs="Arial" w:eastAsia="Arial" w:hAnsi="Arial"/>
          <w:sz w:val="22"/>
          <w:szCs w:val="22"/>
        </w:rPr>
        <w:t xml:space="preserve">The sample is drawn from Refinitiv SDC and covers announced M&amp;A transactions with US-listed targets over a period chosen to ensure regulatory stability and consistent 10-K parsing. Deals are included only if announcement dates, offer prices, deal outcomes, and a clean pre-announcement 10-K are available. The filing must satisfy a minimum lag of 90 days before the announcement to reduce contamination from deal anticipation.</w:t>
      </w:r>
    </w:p>
    <w:p>
      <w:pPr>
        <w:spacing w:after="120" w:before="0" w:line="276"/>
        <w:jc w:val="both"/>
      </w:pPr>
      <w:r>
        <w:rPr>
          <w:rFonts w:ascii="Arial" w:cs="Arial" w:eastAsia="Arial" w:hAnsi="Arial"/>
          <w:b/>
          <w:bCs/>
          <w:sz w:val="22"/>
          <w:szCs w:val="22"/>
        </w:rPr>
        <w:t xml:space="preserve">Final sample: </w:t>
      </w:r>
      <w:r>
        <w:rPr>
          <w:rFonts w:ascii="Arial" w:cs="Arial" w:eastAsia="Arial" w:hAnsi="Arial"/>
          <w:sz w:val="22"/>
          <w:szCs w:val="22"/>
        </w:rPr>
        <w:t xml:space="preserve">4,186 target–deal observations (3,371 completed, 815 withdrawn). Of these, 3,102 have valid premium data, and 3,181 completed deals have valid time-to-close.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spacing w:after="0" w:before="0"/>
              <w:jc w:val="left"/>
            </w:pPr>
            <w:r>
              <w:rPr>
                <w:rFonts w:ascii="Arial" w:cs="Arial" w:eastAsia="Arial" w:hAnsi="Arial"/>
                <w:b/>
                <w:bCs/>
                <w:sz w:val="19"/>
                <w:szCs w:val="19"/>
              </w:rPr>
              <w:t xml:space="preserve">Analysis Subset</w:t>
            </w:r>
          </w:p>
        </w:tc>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spacing w:after="0" w:before="0"/>
              <w:jc w:val="left"/>
            </w:pPr>
            <w:r>
              <w:rPr>
                <w:rFonts w:ascii="Arial" w:cs="Arial" w:eastAsia="Arial" w:hAnsi="Arial"/>
                <w:b/>
                <w:bCs/>
                <w:sz w:val="19"/>
                <w:szCs w:val="19"/>
              </w:rPr>
              <w:t xml:space="preserve">Observations</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Full sample (all indices non-missing)</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4,186</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Premium analysis (valid premium)</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3,102</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Completion analysis (outcome defined)</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4,186</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Duration — AFT (completed, time&gt;0)</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3,181</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Duration — Cox with censoring</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3,995 (3,181 events + 814 censored)</w:t>
            </w:r>
          </w:p>
        </w:tc>
      </w:tr>
    </w:tbl>
    <w:p>
      <w:pPr>
        <w:spacing w:after="80" w:before="0" w:line="276"/>
        <w:jc w:val="both"/>
      </w:pPr>
      <w:r>
        <w:rPr>
          <w:rFonts w:ascii="Arial" w:cs="Arial" w:eastAsia="Arial" w:hAnsi="Arial"/>
          <w:sz w:val="22"/>
          <w:szCs w:val="22"/>
        </w:rPr>
        <w:t xml:space="preserve"/>
      </w:r>
    </w:p>
    <w:p>
      <w:pPr>
        <w:pStyle w:val="Heading1"/>
        <w:spacing w:after="160" w:before="300" w:line="276"/>
        <w:jc w:val="both"/>
      </w:pPr>
      <w:r>
        <w:rPr>
          <w:rFonts w:ascii="Arial" w:cs="Arial" w:eastAsia="Arial" w:hAnsi="Arial"/>
          <w:b/>
          <w:bCs/>
          <w:sz w:val="28"/>
          <w:szCs w:val="28"/>
        </w:rPr>
        <w:t xml:space="preserve">3. Disclosure Constructs and NLP Pipeline</w:t>
      </w:r>
    </w:p>
    <w:p>
      <w:pPr>
        <w:spacing w:after="120" w:before="0" w:line="276"/>
        <w:jc w:val="both"/>
      </w:pPr>
      <w:r>
        <w:rPr>
          <w:rFonts w:ascii="Arial" w:cs="Arial" w:eastAsia="Arial" w:hAnsi="Arial"/>
          <w:sz w:val="22"/>
          <w:szCs w:val="22"/>
        </w:rPr>
        <w:t xml:space="preserve">Four core disclosure constructs are measured, each grounded in the literature and implemented using transparent, replicable methods. All indices are computed at the target–deal level and standardised (z-score) for regression. Raw indices are used in estimation with fixed effects to avoid double de-meaning from normalisation.</w:t>
      </w:r>
    </w:p>
    <w:p>
      <w:pPr>
        <w:pStyle w:val="Heading2"/>
        <w:spacing w:after="160" w:before="200" w:line="276"/>
        <w:jc w:val="both"/>
      </w:pPr>
      <w:r>
        <w:rPr>
          <w:rFonts w:ascii="Arial" w:cs="Arial" w:eastAsia="Arial" w:hAnsi="Arial"/>
          <w:b/>
          <w:bCs/>
          <w:sz w:val="25"/>
          <w:szCs w:val="25"/>
        </w:rPr>
        <w:t xml:space="preserve">3.1 Operational Specificity</w:t>
      </w:r>
    </w:p>
    <w:p>
      <w:pPr>
        <w:spacing w:after="120" w:before="0" w:line="276"/>
        <w:jc w:val="both"/>
      </w:pPr>
      <w:r>
        <w:rPr>
          <w:rFonts w:ascii="Arial" w:cs="Arial" w:eastAsia="Arial" w:hAnsi="Arial"/>
          <w:sz w:val="22"/>
          <w:szCs w:val="22"/>
        </w:rPr>
        <w:t xml:space="preserve">Captures the density of concrete, quantitative information in the 10-K. Constructed as a weighted average of: (i) numeric density (counts of numbers, percentages, dollar signs per total word count), and (ii) compound word density (operational bigrams per alpha word count). Applied to the full 10-K narrative. Mean = 64.5, SD = 21.1. This measure proxies for informational richness—the degree to which the target’s disclosure provides precise, actionable information to potential acquirers.</w:t>
      </w:r>
    </w:p>
    <w:p>
      <w:pPr>
        <w:pStyle w:val="Heading2"/>
        <w:spacing w:after="160" w:before="200" w:line="276"/>
        <w:jc w:val="both"/>
      </w:pPr>
      <w:r>
        <w:rPr>
          <w:rFonts w:ascii="Arial" w:cs="Arial" w:eastAsia="Arial" w:hAnsi="Arial"/>
          <w:b/>
          <w:bCs/>
          <w:sz w:val="25"/>
          <w:szCs w:val="25"/>
        </w:rPr>
        <w:t xml:space="preserve">3.2 Forward-Looking Intensity</w:t>
      </w:r>
    </w:p>
    <w:p>
      <w:pPr>
        <w:spacing w:after="120" w:before="0" w:line="276"/>
        <w:jc w:val="both"/>
      </w:pPr>
      <w:r>
        <w:rPr>
          <w:rFonts w:ascii="Arial" w:cs="Arial" w:eastAsia="Arial" w:hAnsi="Arial"/>
          <w:sz w:val="22"/>
          <w:szCs w:val="22"/>
        </w:rPr>
        <w:t xml:space="preserve">Measures the share of sentences in MD&amp;A that contain forward-looking language, identified via a regex-based dictionary of future-oriented verbs and expressions (e.g., “expect,” “anticipate,” “plan to,” “will”). Mean share = 8.4%, SD = 4.1%. A supplementary sub-index, fl_precision_share, measures the fraction of forward-looking sentences that also contain numeric content (mean = 49.6%), capturing the precision of future guidance.</w:t>
      </w:r>
    </w:p>
    <w:p>
      <w:pPr>
        <w:pStyle w:val="Heading2"/>
        <w:spacing w:after="160" w:before="200" w:line="276"/>
        <w:jc w:val="both"/>
      </w:pPr>
      <w:r>
        <w:rPr>
          <w:rFonts w:ascii="Arial" w:cs="Arial" w:eastAsia="Arial" w:hAnsi="Arial"/>
          <w:b/>
          <w:bCs/>
          <w:sz w:val="25"/>
          <w:szCs w:val="25"/>
        </w:rPr>
        <w:t xml:space="preserve">3.3 Risk Transparency</w:t>
      </w:r>
    </w:p>
    <w:p>
      <w:pPr>
        <w:spacing w:after="120" w:before="0" w:line="276"/>
        <w:jc w:val="both"/>
      </w:pPr>
      <w:r>
        <w:rPr>
          <w:rFonts w:ascii="Arial" w:cs="Arial" w:eastAsia="Arial" w:hAnsi="Arial"/>
          <w:sz w:val="22"/>
          <w:szCs w:val="22"/>
        </w:rPr>
        <w:t xml:space="preserve">Measures the idiosyncrasy of the target’s Item 1A Risk Factors relative to industry–year peers. Computed as 1 minus the cosine similarity between the document’s tf–idf vector and the centroid of its SIC2×year peer group, with hierarchical fallback (SIC2×year → SIC2 → year → global). Higher values indicate more firm-specific risk disclosure—i.e., less boilerplate. Mean = 0.56, SD = 0.19. This construct is designed to separate transparency about risks from the underlying level of risk itself.</w:t>
      </w:r>
    </w:p>
    <w:p>
      <w:pPr>
        <w:pStyle w:val="Heading2"/>
        <w:spacing w:after="160" w:before="200" w:line="276"/>
        <w:jc w:val="both"/>
      </w:pPr>
      <w:r>
        <w:rPr>
          <w:rFonts w:ascii="Arial" w:cs="Arial" w:eastAsia="Arial" w:hAnsi="Arial"/>
          <w:b/>
          <w:bCs/>
          <w:sz w:val="25"/>
          <w:szCs w:val="25"/>
        </w:rPr>
        <w:t xml:space="preserve">3.4 Managerial Tone</w:t>
      </w:r>
    </w:p>
    <w:p>
      <w:pPr>
        <w:spacing w:after="120" w:before="0" w:line="276"/>
        <w:jc w:val="both"/>
      </w:pPr>
      <w:r>
        <w:rPr>
          <w:rFonts w:ascii="Arial" w:cs="Arial" w:eastAsia="Arial" w:hAnsi="Arial"/>
          <w:sz w:val="22"/>
          <w:szCs w:val="22"/>
        </w:rPr>
        <w:t xml:space="preserve">Computed using the Loughran–McDonald (2011) sentiment dictionary on MD&amp;A: tone = (Positive − Negative) / (Positive + Negative + 1). The +1 in the denominator ensures the measure is always defined. Mean = −0.40, SD = 0.22. Tone is not interpreted as a monotonic proxy for transparency but as a credibility-related attribute whose economic meaning depends on incentives and context.</w:t>
      </w:r>
    </w:p>
    <w:p>
      <w:pPr>
        <w:pStyle w:val="Heading2"/>
        <w:spacing w:after="160" w:before="200" w:line="276"/>
        <w:jc w:val="both"/>
      </w:pPr>
      <w:r>
        <w:rPr>
          <w:rFonts w:ascii="Arial" w:cs="Arial" w:eastAsia="Arial" w:hAnsi="Arial"/>
          <w:b/>
          <w:bCs/>
          <w:sz w:val="25"/>
          <w:szCs w:val="25"/>
        </w:rPr>
        <w:t xml:space="preserve">3.5 Supplementary Measures</w:t>
      </w:r>
    </w:p>
    <w:p>
      <w:pPr>
        <w:spacing w:after="120" w:before="0" w:line="276"/>
        <w:jc w:val="both"/>
      </w:pPr>
      <w:r>
        <w:rPr>
          <w:rFonts w:ascii="Arial" w:cs="Arial" w:eastAsia="Arial" w:hAnsi="Arial"/>
          <w:sz w:val="22"/>
          <w:szCs w:val="22"/>
        </w:rPr>
        <w:t xml:space="preserve">Two additional constructs serve as supplementary controls and robustness checks. Commitment density (strong modals: will, shall, must; mean = 2.1 per 1000 words) captures managerial confidence, while hedging density (weak modals: may, might, could; mean = 3.9 per 1000 words) captures strategic ambiguity. Processing cost variables include Gunning Fog readability (mean = 21.8) and log document length. These variables are interpretable as information environment controls.</w:t>
      </w:r>
    </w:p>
    <w:p>
      <w:pPr>
        <w:pStyle w:val="Heading1"/>
        <w:spacing w:after="160" w:before="300" w:line="276"/>
        <w:jc w:val="both"/>
      </w:pPr>
      <w:r>
        <w:rPr>
          <w:rFonts w:ascii="Arial" w:cs="Arial" w:eastAsia="Arial" w:hAnsi="Arial"/>
          <w:b/>
          <w:bCs/>
          <w:sz w:val="28"/>
          <w:szCs w:val="28"/>
        </w:rPr>
        <w:t xml:space="preserve">4. Econometric Strategy</w:t>
      </w:r>
    </w:p>
    <w:p>
      <w:pPr>
        <w:pStyle w:val="Heading2"/>
        <w:spacing w:after="160" w:before="200" w:line="276"/>
        <w:jc w:val="both"/>
      </w:pPr>
      <w:r>
        <w:rPr>
          <w:rFonts w:ascii="Arial" w:cs="Arial" w:eastAsia="Arial" w:hAnsi="Arial"/>
          <w:b/>
          <w:bCs/>
          <w:sz w:val="25"/>
          <w:szCs w:val="25"/>
        </w:rPr>
        <w:t xml:space="preserve">4.1 Premium Regressions (OLS)</w:t>
      </w:r>
    </w:p>
    <w:p>
      <w:pPr>
        <w:spacing w:after="120" w:before="0" w:line="276"/>
        <w:jc w:val="both"/>
      </w:pPr>
      <w:r>
        <w:rPr>
          <w:rFonts w:ascii="Arial" w:cs="Arial" w:eastAsia="Arial" w:hAnsi="Arial"/>
          <w:sz w:val="22"/>
          <w:szCs w:val="22"/>
        </w:rPr>
        <w:t xml:space="preserve">Estimated via OLS (fixest::feols) with Year FE and Industry×Year FE (SIC2×year). Standard errors clustered at SIC2 level. The dependent variable is the 1-day pre-announcement premium (winsorised at 1%/99%). Controls include log deal value, tender offer dummy, and payment method (percentage of cash). Model hierarchy: (P1) Core 4 indices + Year FE; (P2) Core 4 + Ind×Year FE; (P3) Extended (+ supplementary indices); (P4) Core 4 + processing costs; (P5) individual indices one-at-a-time.</w:t>
      </w:r>
    </w:p>
    <w:p>
      <w:pPr>
        <w:pStyle w:val="Heading2"/>
        <w:spacing w:after="160" w:before="200" w:line="276"/>
        <w:jc w:val="both"/>
      </w:pPr>
      <w:r>
        <w:rPr>
          <w:rFonts w:ascii="Arial" w:cs="Arial" w:eastAsia="Arial" w:hAnsi="Arial"/>
          <w:b/>
          <w:bCs/>
          <w:sz w:val="25"/>
          <w:szCs w:val="25"/>
        </w:rPr>
        <w:t xml:space="preserve">4.2 Completion Models (Logit)</w:t>
      </w:r>
    </w:p>
    <w:p>
      <w:pPr>
        <w:spacing w:after="120" w:before="0" w:line="276"/>
        <w:jc w:val="both"/>
      </w:pPr>
      <w:r>
        <w:rPr>
          <w:rFonts w:ascii="Arial" w:cs="Arial" w:eastAsia="Arial" w:hAnsi="Arial"/>
          <w:sz w:val="22"/>
          <w:szCs w:val="22"/>
        </w:rPr>
        <w:t xml:space="preserve">Estimated via logit (fixest::feglm) with the same FE and clustering structure. The dependent variable is a binary completion indicator (1 = completed, 0 = withdrawn). The same progressive specification hierarchy applies (C1–C4).</w:t>
      </w:r>
    </w:p>
    <w:p>
      <w:pPr>
        <w:pStyle w:val="Heading2"/>
        <w:spacing w:after="160" w:before="200" w:line="276"/>
        <w:jc w:val="both"/>
      </w:pPr>
      <w:r>
        <w:rPr>
          <w:rFonts w:ascii="Arial" w:cs="Arial" w:eastAsia="Arial" w:hAnsi="Arial"/>
          <w:b/>
          <w:bCs/>
          <w:sz w:val="25"/>
          <w:szCs w:val="25"/>
        </w:rPr>
        <w:t xml:space="preserve">4.3 Duration Models (AFT + Cox)</w:t>
      </w:r>
    </w:p>
    <w:p>
      <w:pPr>
        <w:spacing w:after="120" w:before="0" w:line="276"/>
        <w:jc w:val="both"/>
      </w:pPr>
      <w:r>
        <w:rPr>
          <w:rFonts w:ascii="Arial" w:cs="Arial" w:eastAsia="Arial" w:hAnsi="Arial"/>
          <w:sz w:val="22"/>
          <w:szCs w:val="22"/>
        </w:rPr>
        <w:t xml:space="preserve">The initial Cox PH specification exhibited a severe global PH violation (p &lt; 10⁻¹³⁵), with individual violations for operational specificity, tone, deal value, tender offer, and payment method. This is expected in M&amp;A duration data where covariate effects change over the deal lifecycle (e.g., tender offers accelerate early, payment friction dominates later).</w:t>
      </w:r>
    </w:p>
    <w:p>
      <w:pPr>
        <w:spacing w:after="120" w:before="0" w:line="276"/>
        <w:jc w:val="both"/>
      </w:pPr>
      <w:r>
        <w:rPr>
          <w:rFonts w:ascii="Arial" w:cs="Arial" w:eastAsia="Arial" w:hAnsi="Arial"/>
          <w:b/>
          <w:bCs/>
          <w:sz w:val="22"/>
          <w:szCs w:val="22"/>
        </w:rPr>
        <w:t xml:space="preserve">Solution adopted: </w:t>
      </w:r>
      <w:r>
        <w:rPr>
          <w:rFonts w:ascii="Arial" w:cs="Arial" w:eastAsia="Arial" w:hAnsi="Arial"/>
          <w:sz w:val="22"/>
          <w:szCs w:val="22"/>
        </w:rPr>
        <w:t xml:space="preserve">Accelerated Failure Time (AFT) log-normal as the primary model, with Cox including proper censoring (withdrawn deals censored at withdrawal date) as robustness. The AFT does not require proportional hazards, estimates directly in days (exp(β) = time ratio), and is preferred on AIC (37,736 vs 38,059 for Weibull). This approach is standard in the M&amp;A empirics literature.</w:t>
      </w:r>
    </w:p>
    <w:p>
      <w:pPr>
        <w:pStyle w:val="Heading2"/>
        <w:spacing w:after="160" w:before="200" w:line="276"/>
        <w:jc w:val="both"/>
      </w:pPr>
      <w:r>
        <w:rPr>
          <w:rFonts w:ascii="Arial" w:cs="Arial" w:eastAsia="Arial" w:hAnsi="Arial"/>
          <w:b/>
          <w:bCs/>
          <w:sz w:val="25"/>
          <w:szCs w:val="25"/>
        </w:rPr>
        <w:t xml:space="preserve">4.4 Identification and Limitations</w:t>
      </w:r>
    </w:p>
    <w:p>
      <w:pPr>
        <w:spacing w:after="120" w:before="0" w:line="276"/>
        <w:jc w:val="both"/>
      </w:pPr>
      <w:r>
        <w:rPr>
          <w:rFonts w:ascii="Arial" w:cs="Arial" w:eastAsia="Arial" w:hAnsi="Arial"/>
          <w:sz w:val="22"/>
          <w:szCs w:val="22"/>
        </w:rPr>
        <w:t xml:space="preserve">Disclosure is not exogenous. Mitigation relies on: (i) lagged disclosure (10-K filed before announcement, with ≥90-day lag); (ii) industry×year FE absorbing time-varying reporting norms and macro conditions; (iii) rich deal-level controls. These strategies mitigate but do not eliminate endogeneity. All interpretations are associational, consistent with the literature’s emphasis on structured evidence rather than causal claims.</w:t>
      </w:r>
    </w:p>
    <w:p>
      <w:r>
        <w:br w:type="page"/>
      </w:r>
    </w:p>
    <w:p>
      <w:pPr>
        <w:pStyle w:val="Heading1"/>
        <w:spacing w:after="160" w:before="300" w:line="276"/>
        <w:jc w:val="both"/>
      </w:pPr>
      <w:r>
        <w:rPr>
          <w:rFonts w:ascii="Arial" w:cs="Arial" w:eastAsia="Arial" w:hAnsi="Arial"/>
          <w:b/>
          <w:bCs/>
          <w:sz w:val="28"/>
          <w:szCs w:val="28"/>
        </w:rPr>
        <w:t xml:space="preserve">5. Empirical Results</w:t>
      </w:r>
    </w:p>
    <w:p>
      <w:pPr>
        <w:pStyle w:val="Heading2"/>
        <w:spacing w:after="160" w:before="200" w:line="276"/>
        <w:jc w:val="both"/>
      </w:pPr>
      <w:r>
        <w:rPr>
          <w:rFonts w:ascii="Arial" w:cs="Arial" w:eastAsia="Arial" w:hAnsi="Arial"/>
          <w:b/>
          <w:bCs/>
          <w:sz w:val="25"/>
          <w:szCs w:val="25"/>
        </w:rPr>
        <w:t xml:space="preserve">5.1 Summary of Key Coefficients</w:t>
      </w:r>
    </w:p>
    <w:p>
      <w:pPr>
        <w:spacing w:after="160" w:before="0" w:line="276"/>
        <w:jc w:val="both"/>
      </w:pPr>
      <w:r>
        <w:rPr>
          <w:rFonts w:ascii="Arial" w:cs="Arial" w:eastAsia="Arial" w:hAnsi="Arial"/>
          <w:sz w:val="22"/>
          <w:szCs w:val="22"/>
        </w:rPr>
        <w:t xml:space="preserve">The table below reports the direction, magnitude, significance, and robustness of each core disclosure construct across the three outcomes. All NLP indices are standardised (mean=0, SD=1), so coefficients represent the effect of a 1-SD increase.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53"/>
        <w:gridCol w:w="2253"/>
        <w:gridCol w:w="2253"/>
      </w:tblGrid>
      <w:tr>
        <w:tc>
          <w:tcPr>
            <w:tcW w:type="dxa" w:w="2600"/>
            <w:tcBorders>
              <w:top w:val="single" w:color="BBBBBB" w:sz="1"/>
              <w:left w:val="single" w:color="BBBBBB" w:sz="1"/>
              <w:bottom w:val="single" w:color="BBBBBB" w:sz="1"/>
              <w:right w:val="single" w:color="BBBBBB" w:sz="1"/>
            </w:tcBorders>
            <w:shd w:fill="2E5A88" w:val="clear"/>
            <w:tcMar>
              <w:top w:type="dxa" w:w="60"/>
              <w:left w:type="dxa" w:w="100"/>
              <w:bottom w:type="dxa" w:w="60"/>
              <w:right w:type="dxa" w:w="100"/>
            </w:tcMar>
            <w:vAlign w:val="center"/>
          </w:tcPr>
          <w:p>
            <w:pPr>
              <w:spacing w:after="0" w:before="0"/>
              <w:jc w:val="left"/>
            </w:pPr>
            <w:r>
              <w:rPr>
                <w:rFonts w:ascii="Arial" w:cs="Arial" w:eastAsia="Arial" w:hAnsi="Arial"/>
                <w:b/>
                <w:bCs/>
                <w:color w:val="FFFFFF"/>
                <w:sz w:val="18"/>
                <w:szCs w:val="18"/>
              </w:rPr>
              <w:t xml:space="preserve">Construct</w:t>
            </w:r>
          </w:p>
        </w:tc>
        <w:tc>
          <w:tcPr>
            <w:tcW w:type="dxa" w:w="2253"/>
            <w:tcBorders>
              <w:top w:val="single" w:color="BBBBBB" w:sz="1"/>
              <w:left w:val="single" w:color="BBBBBB" w:sz="1"/>
              <w:bottom w:val="single" w:color="BBBBBB" w:sz="1"/>
              <w:right w:val="single" w:color="BBBBBB" w:sz="1"/>
            </w:tcBorders>
            <w:shd w:fill="2E5A88" w:val="clear"/>
            <w:tcMar>
              <w:top w:type="dxa" w:w="60"/>
              <w:left w:type="dxa" w:w="100"/>
              <w:bottom w:type="dxa" w:w="60"/>
              <w:right w:type="dxa" w:w="100"/>
            </w:tcMar>
            <w:vAlign w:val="center"/>
          </w:tcPr>
          <w:p>
            <w:pPr>
              <w:spacing w:after="0" w:before="0"/>
              <w:jc w:val="left"/>
            </w:pPr>
            <w:r>
              <w:rPr>
                <w:rFonts w:ascii="Arial" w:cs="Arial" w:eastAsia="Arial" w:hAnsi="Arial"/>
                <w:b/>
                <w:bCs/>
                <w:color w:val="FFFFFF"/>
                <w:sz w:val="18"/>
                <w:szCs w:val="18"/>
              </w:rPr>
              <w:t xml:space="preserve">Premium (OLS)</w:t>
            </w:r>
          </w:p>
        </w:tc>
        <w:tc>
          <w:tcPr>
            <w:tcW w:type="dxa" w:w="2253"/>
            <w:tcBorders>
              <w:top w:val="single" w:color="BBBBBB" w:sz="1"/>
              <w:left w:val="single" w:color="BBBBBB" w:sz="1"/>
              <w:bottom w:val="single" w:color="BBBBBB" w:sz="1"/>
              <w:right w:val="single" w:color="BBBBBB" w:sz="1"/>
            </w:tcBorders>
            <w:shd w:fill="2E5A88" w:val="clear"/>
            <w:tcMar>
              <w:top w:type="dxa" w:w="60"/>
              <w:left w:type="dxa" w:w="100"/>
              <w:bottom w:type="dxa" w:w="60"/>
              <w:right w:type="dxa" w:w="100"/>
            </w:tcMar>
            <w:vAlign w:val="center"/>
          </w:tcPr>
          <w:p>
            <w:pPr>
              <w:spacing w:after="0" w:before="0"/>
              <w:jc w:val="left"/>
            </w:pPr>
            <w:r>
              <w:rPr>
                <w:rFonts w:ascii="Arial" w:cs="Arial" w:eastAsia="Arial" w:hAnsi="Arial"/>
                <w:b/>
                <w:bCs/>
                <w:color w:val="FFFFFF"/>
                <w:sz w:val="18"/>
                <w:szCs w:val="18"/>
              </w:rPr>
              <w:t xml:space="preserve">Completion (Logit)</w:t>
            </w:r>
          </w:p>
        </w:tc>
        <w:tc>
          <w:tcPr>
            <w:tcW w:type="dxa" w:w="2253"/>
            <w:tcBorders>
              <w:top w:val="single" w:color="BBBBBB" w:sz="1"/>
              <w:left w:val="single" w:color="BBBBBB" w:sz="1"/>
              <w:bottom w:val="single" w:color="BBBBBB" w:sz="1"/>
              <w:right w:val="single" w:color="BBBBBB" w:sz="1"/>
            </w:tcBorders>
            <w:shd w:fill="2E5A88" w:val="clear"/>
            <w:tcMar>
              <w:top w:type="dxa" w:w="60"/>
              <w:left w:type="dxa" w:w="100"/>
              <w:bottom w:type="dxa" w:w="60"/>
              <w:right w:type="dxa" w:w="100"/>
            </w:tcMar>
            <w:vAlign w:val="center"/>
          </w:tcPr>
          <w:p>
            <w:pPr>
              <w:spacing w:after="0" w:before="0"/>
              <w:jc w:val="left"/>
            </w:pPr>
            <w:r>
              <w:rPr>
                <w:rFonts w:ascii="Arial" w:cs="Arial" w:eastAsia="Arial" w:hAnsi="Arial"/>
                <w:b/>
                <w:bCs/>
                <w:color w:val="FFFFFF"/>
                <w:sz w:val="18"/>
                <w:szCs w:val="18"/>
              </w:rPr>
              <w:t xml:space="preserve">Duration (AFT)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b/>
                <w:bCs/>
                <w:sz w:val="19"/>
                <w:szCs w:val="19"/>
              </w:rPr>
              <w:t xml:space="preserve">Operational Specificity</w:t>
            </w:r>
          </w:p>
        </w:tc>
        <w:tc>
          <w:tcPr>
            <w:tcW w:type="dxa" w:w="225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−4.5 pp*** (P1)
−2.5 pp** (P2, Ind×Yr FE)</w:t>
            </w:r>
          </w:p>
        </w:tc>
        <w:tc>
          <w:tcPr>
            <w:tcW w:type="dxa" w:w="225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Not significant
(OR = 0.96, p = 0.43)</w:t>
            </w:r>
          </w:p>
        </w:tc>
        <w:tc>
          <w:tcPr>
            <w:tcW w:type="dxa" w:w="225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+8.1%*** longer
(robust across specs)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b/>
                <w:bCs/>
                <w:sz w:val="19"/>
                <w:szCs w:val="19"/>
              </w:rPr>
              <w:t xml:space="preserve">Forward-Looking</w:t>
            </w:r>
          </w:p>
        </w:tc>
        <w:tc>
          <w:tcPr>
            <w:tcW w:type="dxa" w:w="225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+1.5 pp* (P1)
+2.3 pp** (one-at-a-time)</w:t>
            </w:r>
          </w:p>
        </w:tc>
        <w:tc>
          <w:tcPr>
            <w:tcW w:type="dxa" w:w="225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Not significant
(OR = 0.94, p = 0.19)</w:t>
            </w:r>
          </w:p>
        </w:tc>
        <w:tc>
          <w:tcPr>
            <w:tcW w:type="dxa" w:w="225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Not significant
(−2.2%, p = 0.15)</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b/>
                <w:bCs/>
                <w:sz w:val="19"/>
                <w:szCs w:val="19"/>
              </w:rPr>
              <w:t xml:space="preserve">Risk Transparency</w:t>
            </w:r>
          </w:p>
        </w:tc>
        <w:tc>
          <w:tcPr>
            <w:tcW w:type="dxa" w:w="225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Not significant
(β = 0.16, p = 0.91)</w:t>
            </w:r>
          </w:p>
        </w:tc>
        <w:tc>
          <w:tcPr>
            <w:tcW w:type="dxa" w:w="225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OR = 1.12** (P1)
OR = 1.29*** (P2, Ind×Yr)</w:t>
            </w:r>
          </w:p>
        </w:tc>
        <w:tc>
          <w:tcPr>
            <w:tcW w:type="dxa" w:w="225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−3.3%** shorter
(robust across specs)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b/>
                <w:bCs/>
                <w:sz w:val="19"/>
                <w:szCs w:val="19"/>
              </w:rPr>
              <w:t xml:space="preserve">Tone (LM)</w:t>
            </w:r>
          </w:p>
        </w:tc>
        <w:tc>
          <w:tcPr>
            <w:tcW w:type="dxa" w:w="225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Not significant
(β = 1.2, p = 0.35)</w:t>
            </w:r>
          </w:p>
        </w:tc>
        <w:tc>
          <w:tcPr>
            <w:tcW w:type="dxa" w:w="225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Not significant
(OR = 0.96, p = 0.41)</w:t>
            </w:r>
          </w:p>
        </w:tc>
        <w:tc>
          <w:tcPr>
            <w:tcW w:type="dxa" w:w="225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−4.1%** shorter
(−3.5% in extended)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b/>
                <w:bCs/>
                <w:sz w:val="19"/>
                <w:szCs w:val="19"/>
              </w:rPr>
              <w:t xml:space="preserve">Commitment Density</w:t>
            </w:r>
          </w:p>
        </w:tc>
        <w:tc>
          <w:tcPr>
            <w:tcW w:type="dxa" w:w="225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+2.0 pp** (P3 extended)</w:t>
            </w:r>
          </w:p>
        </w:tc>
        <w:tc>
          <w:tcPr>
            <w:tcW w:type="dxa" w:w="225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OR = 1.21*** (C3)</w:t>
            </w:r>
          </w:p>
        </w:tc>
        <w:tc>
          <w:tcPr>
            <w:tcW w:type="dxa" w:w="225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−4.8%** shorter
(extended spec)</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b/>
                <w:bCs/>
                <w:sz w:val="19"/>
                <w:szCs w:val="19"/>
              </w:rPr>
              <w:t xml:space="preserve">mda_log_length</w:t>
            </w:r>
          </w:p>
        </w:tc>
        <w:tc>
          <w:tcPr>
            <w:tcW w:type="dxa" w:w="225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−3.2 pp** (P4)</w:t>
            </w:r>
          </w:p>
        </w:tc>
        <w:tc>
          <w:tcPr>
            <w:tcW w:type="dxa" w:w="225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OR = 0.91** (C4)</w:t>
            </w:r>
          </w:p>
        </w:tc>
        <w:tc>
          <w:tcPr>
            <w:tcW w:type="dxa" w:w="225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+7.4%*** longer</w:t>
            </w:r>
          </w:p>
        </w:tc>
      </w:tr>
    </w:tbl>
    <w:p>
      <w:pPr>
        <w:spacing w:after="200" w:before="0" w:line="276"/>
        <w:jc w:val="both"/>
      </w:pPr>
      <w:r>
        <w:rPr>
          <w:rFonts w:ascii="Arial" w:cs="Arial" w:eastAsia="Arial" w:hAnsi="Arial"/>
          <w:b/>
          <w:bCs/>
          <w:sz w:val="18"/>
          <w:szCs w:val="18"/>
        </w:rPr>
        <w:t xml:space="preserve">Notes: </w:t>
      </w:r>
      <w:r>
        <w:rPr>
          <w:rFonts w:ascii="Arial" w:cs="Arial" w:eastAsia="Arial" w:hAnsi="Arial"/>
          <w:i/>
          <w:iCs/>
          <w:sz w:val="18"/>
          <w:szCs w:val="18"/>
        </w:rPr>
        <w:t xml:space="preserve">*** p&lt;0.01, ** p&lt;0.05, * p&lt;0.10. Premium in percentage points; completion as odds ratios; duration as % change in days-to-close. All with Year FE unless noted. SEs clustered at SIC2.</w:t>
      </w:r>
    </w:p>
    <w:p>
      <w:pPr>
        <w:pStyle w:val="Heading2"/>
        <w:spacing w:after="160" w:before="200" w:line="276"/>
        <w:jc w:val="both"/>
      </w:pPr>
      <w:r>
        <w:rPr>
          <w:rFonts w:ascii="Arial" w:cs="Arial" w:eastAsia="Arial" w:hAnsi="Arial"/>
          <w:b/>
          <w:bCs/>
          <w:sz w:val="25"/>
          <w:szCs w:val="25"/>
        </w:rPr>
        <w:t xml:space="preserve">5.2 Premium Results</w:t>
      </w:r>
    </w:p>
    <w:p>
      <w:pPr>
        <w:spacing w:after="120" w:before="0" w:line="276"/>
        <w:jc w:val="both"/>
      </w:pPr>
      <w:r>
        <w:rPr>
          <w:rFonts w:ascii="Arial" w:cs="Arial" w:eastAsia="Arial" w:hAnsi="Arial"/>
          <w:b/>
          <w:bCs/>
          <w:sz w:val="22"/>
          <w:szCs w:val="22"/>
        </w:rPr>
        <w:t xml:space="preserve">Operational specificity is the dominant predictor of deal premia. </w:t>
      </w:r>
      <w:r>
        <w:rPr>
          <w:rFonts w:ascii="Arial" w:cs="Arial" w:eastAsia="Arial" w:hAnsi="Arial"/>
          <w:sz w:val="22"/>
          <w:szCs w:val="22"/>
        </w:rPr>
        <w:t xml:space="preserve">A 1-SD increase in specificity is associated with a 4.5 pp lower premium (P1, Year FE, p &lt; 0.001), declining to 2.5 pp with Industry×Year FE (P2, p = 0.002). This result is consistent with a precision-driven reduction in overpayment: targets that provide more concrete, quantitative information in their 10-K reduce acquirer uncertainty, which in turn reduces the risk premium embedded in the offer. The individual-index specification (P5) confirms this is not an artifact of collinearity (β = −5.0, p &lt; 0.001).</w:t>
      </w:r>
    </w:p>
    <w:p>
      <w:pPr>
        <w:spacing w:after="120" w:before="0" w:line="276"/>
        <w:jc w:val="both"/>
      </w:pPr>
      <w:r>
        <w:rPr>
          <w:rFonts w:ascii="Arial" w:cs="Arial" w:eastAsia="Arial" w:hAnsi="Arial"/>
          <w:sz w:val="22"/>
          <w:szCs w:val="22"/>
        </w:rPr>
        <w:t xml:space="preserve">Forward-looking intensity shows a positive association with premium, borderline significant in the main specification (+1.5 pp, p = 0.07) and clearly significant in the one-at-a-time test (+2.3 pp, p = 0.005). The direction is consistent with the hypothesis that forward-looking disclosure signals growth expectations, which supports higher valuations.</w:t>
      </w:r>
    </w:p>
    <w:p>
      <w:pPr>
        <w:spacing w:after="120" w:before="0" w:line="276"/>
        <w:jc w:val="both"/>
      </w:pPr>
      <w:r>
        <w:rPr>
          <w:rFonts w:ascii="Arial" w:cs="Arial" w:eastAsia="Arial" w:hAnsi="Arial"/>
          <w:sz w:val="22"/>
          <w:szCs w:val="22"/>
        </w:rPr>
        <w:t xml:space="preserve">Risk transparency and tone are not significantly associated with the premium. This null result for risk transparency is informative: idiosyncratic risk disclosure may affect execution frictions rather than initial pricing. Tone’s insignificance is consistent with the research design’s cautious interpretation of tone as a credibility attribute rather than a directional signal.</w:t>
      </w:r>
    </w:p>
    <w:p>
      <w:pPr>
        <w:spacing w:after="120" w:before="0" w:line="276"/>
        <w:jc w:val="both"/>
      </w:pPr>
      <w:r>
        <w:rPr>
          <w:rFonts w:ascii="Arial" w:cs="Arial" w:eastAsia="Arial" w:hAnsi="Arial"/>
          <w:b/>
          <w:bCs/>
          <w:sz w:val="22"/>
          <w:szCs w:val="22"/>
        </w:rPr>
        <w:t xml:space="preserve">R² and fit: </w:t>
      </w:r>
      <w:r>
        <w:rPr>
          <w:rFonts w:ascii="Arial" w:cs="Arial" w:eastAsia="Arial" w:hAnsi="Arial"/>
          <w:sz w:val="22"/>
          <w:szCs w:val="22"/>
        </w:rPr>
        <w:t xml:space="preserve">R² with Year FE is approximately 6%, rising to 25% with Industry×Year FE. Low cross-sectional R² is standard in premium regressions (Officer 2003, Betton et al. 2008), where idiosyncratic deal-level factors dominate. The inclusion of 977 Industry×Year cells substantially absorbs sector-level and macro variation.</w:t>
      </w:r>
    </w:p>
    <w:p>
      <w:pPr>
        <w:pStyle w:val="Heading2"/>
        <w:spacing w:after="160" w:before="200" w:line="276"/>
        <w:jc w:val="both"/>
      </w:pPr>
      <w:r>
        <w:rPr>
          <w:rFonts w:ascii="Arial" w:cs="Arial" w:eastAsia="Arial" w:hAnsi="Arial"/>
          <w:b/>
          <w:bCs/>
          <w:sz w:val="25"/>
          <w:szCs w:val="25"/>
        </w:rPr>
        <w:t xml:space="preserve">5.3 Completion Results</w:t>
      </w:r>
    </w:p>
    <w:p>
      <w:pPr>
        <w:spacing w:after="120" w:before="0" w:line="276"/>
        <w:jc w:val="both"/>
      </w:pPr>
      <w:r>
        <w:rPr>
          <w:rFonts w:ascii="Arial" w:cs="Arial" w:eastAsia="Arial" w:hAnsi="Arial"/>
          <w:b/>
          <w:bCs/>
          <w:sz w:val="22"/>
          <w:szCs w:val="22"/>
        </w:rPr>
        <w:t xml:space="preserve">Risk transparency is the strongest and most robust predictor of deal completion. </w:t>
      </w:r>
      <w:r>
        <w:rPr>
          <w:rFonts w:ascii="Arial" w:cs="Arial" w:eastAsia="Arial" w:hAnsi="Arial"/>
          <w:sz w:val="22"/>
          <w:szCs w:val="22"/>
        </w:rPr>
        <w:t xml:space="preserve">A 1-SD increase raises the odds of completion by 12% (C1, Year FE, p = 0.024), increasing to 29% with Industry×Year FE (C2, p &lt; 0.001). This suggests that targets whose risk disclosure deviates more from boilerplate—i.e., contains more firm-specific risk information—face fewer surprises in due diligence, reducing the probability of deal withdrawal.</w:t>
      </w:r>
    </w:p>
    <w:p>
      <w:pPr>
        <w:spacing w:after="120" w:before="0" w:line="276"/>
        <w:jc w:val="both"/>
      </w:pPr>
      <w:r>
        <w:rPr>
          <w:rFonts w:ascii="Arial" w:cs="Arial" w:eastAsia="Arial" w:hAnsi="Arial"/>
          <w:sz w:val="22"/>
          <w:szCs w:val="22"/>
        </w:rPr>
        <w:t xml:space="preserve">Commitment density (strong modals: will, shall, must) in the extended specification shows OR = 1.21 (p &lt; 0.001), indicating that linguistically more committed disclosure is associated with higher completion rates. This is a novel supplementary finding.</w:t>
      </w:r>
    </w:p>
    <w:p>
      <w:pPr>
        <w:spacing w:after="120" w:before="0" w:line="276"/>
        <w:jc w:val="both"/>
      </w:pPr>
      <w:r>
        <w:rPr>
          <w:rFonts w:ascii="Arial" w:cs="Arial" w:eastAsia="Arial" w:hAnsi="Arial"/>
          <w:sz w:val="22"/>
          <w:szCs w:val="22"/>
        </w:rPr>
        <w:t xml:space="preserve">Among controls, tender offer is the strongest predictor (OR = 5–7 across specifications), consistent with the structural commitment mechanism of tender offers. Cash payment is negatively associated with completion, which may reflect financing conditionality.</w:t>
      </w:r>
    </w:p>
    <w:p>
      <w:pPr>
        <w:pStyle w:val="Heading2"/>
        <w:spacing w:after="160" w:before="200" w:line="276"/>
        <w:jc w:val="both"/>
      </w:pPr>
      <w:r>
        <w:rPr>
          <w:rFonts w:ascii="Arial" w:cs="Arial" w:eastAsia="Arial" w:hAnsi="Arial"/>
          <w:b/>
          <w:bCs/>
          <w:sz w:val="25"/>
          <w:szCs w:val="25"/>
        </w:rPr>
        <w:t xml:space="preserve">5.4 Duration Results</w:t>
      </w:r>
    </w:p>
    <w:p>
      <w:pPr>
        <w:spacing w:after="120" w:before="0" w:line="276"/>
        <w:jc w:val="both"/>
      </w:pPr>
      <w:r>
        <w:rPr>
          <w:rFonts w:ascii="Arial" w:cs="Arial" w:eastAsia="Arial" w:hAnsi="Arial"/>
          <w:b/>
          <w:bCs/>
          <w:sz w:val="22"/>
          <w:szCs w:val="22"/>
        </w:rPr>
        <w:t xml:space="preserve">The AFT log-normal is the primary duration model, preferred over Cox on both statistical grounds (AIC) and methodological grounds (no PH assumption required). </w:t>
      </w:r>
      <w:r>
        <w:rPr>
          <w:rFonts w:ascii="Arial" w:cs="Arial" w:eastAsia="Arial" w:hAnsi="Arial"/>
          <w:sz w:val="22"/>
          <w:szCs w:val="22"/>
        </w:rPr>
        <w:t xml:space="preserve">The Cox PH specification showed a global PH violation with p &lt; 10⁻¹³⁵. The AFT circumvents this entirely.</w:t>
      </w:r>
    </w:p>
    <w:p>
      <w:pPr>
        <w:spacing w:after="120" w:before="0" w:line="276"/>
        <w:jc w:val="both"/>
      </w:pPr>
      <w:r>
        <w:rPr>
          <w:rFonts w:ascii="Arial" w:cs="Arial" w:eastAsia="Arial" w:hAnsi="Arial"/>
          <w:sz w:val="22"/>
          <w:szCs w:val="22"/>
        </w:rPr>
        <w:t xml:space="preserve">Three disclosure constructs are significant:</w:t>
      </w:r>
    </w:p>
    <w:p>
      <w:pPr>
        <w:spacing w:after="120" w:before="0" w:line="276"/>
        <w:jc w:val="both"/>
      </w:pPr>
      <w:r>
        <w:rPr>
          <w:rFonts w:ascii="Arial" w:cs="Arial" w:eastAsia="Arial" w:hAnsi="Arial"/>
          <w:b/>
          <w:bCs/>
          <w:sz w:val="22"/>
          <w:szCs w:val="22"/>
        </w:rPr>
        <w:t xml:space="preserve">Operational specificity lengthens time-to-close by 8.1% per SD </w:t>
      </w:r>
      <w:r>
        <w:rPr>
          <w:rFonts w:ascii="Arial" w:cs="Arial" w:eastAsia="Arial" w:hAnsi="Arial"/>
          <w:sz w:val="22"/>
          <w:szCs w:val="22"/>
        </w:rPr>
        <w:t xml:space="preserve">(AFT1, p &lt; 0.001). This does not contradict the premium result—rather, it complements it. More specific disclosure reveals operational complexity that requires longer due diligence, even as it reduces overpayment by providing better pricing information. The specificity index captures content richness, not simplicity.</w:t>
      </w:r>
    </w:p>
    <w:p>
      <w:pPr>
        <w:spacing w:after="120" w:before="0" w:line="276"/>
        <w:jc w:val="both"/>
      </w:pPr>
      <w:r>
        <w:rPr>
          <w:rFonts w:ascii="Arial" w:cs="Arial" w:eastAsia="Arial" w:hAnsi="Arial"/>
          <w:b/>
          <w:bCs/>
          <w:sz w:val="22"/>
          <w:szCs w:val="22"/>
        </w:rPr>
        <w:t xml:space="preserve">Risk transparency shortens time-to-close by 3.3% per SD </w:t>
      </w:r>
      <w:r>
        <w:rPr>
          <w:rFonts w:ascii="Arial" w:cs="Arial" w:eastAsia="Arial" w:hAnsi="Arial"/>
          <w:sz w:val="22"/>
          <w:szCs w:val="22"/>
        </w:rPr>
        <w:t xml:space="preserve">(AFT1, p = 0.025). Combined with the completion result, this provides a coherent narrative: idiosyncratic risk disclosure simultaneously increases the probability of completion and accelerates the process, consistent with reduced information asymmetry in due diligence.</w:t>
      </w:r>
    </w:p>
    <w:p>
      <w:pPr>
        <w:spacing w:after="120" w:before="0" w:line="276"/>
        <w:jc w:val="both"/>
      </w:pPr>
      <w:r>
        <w:rPr>
          <w:rFonts w:ascii="Arial" w:cs="Arial" w:eastAsia="Arial" w:hAnsi="Arial"/>
          <w:b/>
          <w:bCs/>
          <w:sz w:val="22"/>
          <w:szCs w:val="22"/>
        </w:rPr>
        <w:t xml:space="preserve">Tone shortens time-to-close by 4.1% per SD </w:t>
      </w:r>
      <w:r>
        <w:rPr>
          <w:rFonts w:ascii="Arial" w:cs="Arial" w:eastAsia="Arial" w:hAnsi="Arial"/>
          <w:sz w:val="22"/>
          <w:szCs w:val="22"/>
        </w:rPr>
        <w:t xml:space="preserve">(AFT1, p = 0.006). More positive tone facilitates smoother negotiations. However, the effect attenuates in the Weibull robustness specification (−1.3%, p = 0.39), suggesting less stability than the other constructs.</w:t>
      </w:r>
    </w:p>
    <w:p>
      <w:pPr>
        <w:spacing w:after="120" w:before="0" w:line="276"/>
        <w:jc w:val="both"/>
      </w:pPr>
      <w:r>
        <w:rPr>
          <w:rFonts w:ascii="Arial" w:cs="Arial" w:eastAsia="Arial" w:hAnsi="Arial"/>
          <w:sz w:val="22"/>
          <w:szCs w:val="22"/>
        </w:rPr>
        <w:t xml:space="preserve">Processing cost results are also informative: log document length increases time-to-close by 7.4% per SD (AFT3, p &lt; 0.001), reinforcing the interpretation that longer, more complex disclosures impose real information-processing costs on acquirers and advisors.</w:t>
      </w:r>
    </w:p>
    <w:p>
      <w:pPr>
        <w:pStyle w:val="Heading1"/>
        <w:spacing w:after="160" w:before="300" w:line="276"/>
        <w:jc w:val="both"/>
      </w:pPr>
      <w:r>
        <w:rPr>
          <w:rFonts w:ascii="Arial" w:cs="Arial" w:eastAsia="Arial" w:hAnsi="Arial"/>
          <w:b/>
          <w:bCs/>
          <w:sz w:val="28"/>
          <w:szCs w:val="28"/>
        </w:rPr>
        <w:t xml:space="preserve">6. Mapping Results to Hypotheses</w:t>
      </w:r>
    </w:p>
    <w:p>
      <w:pPr>
        <w:spacing w:after="120" w:before="0" w:line="276"/>
        <w:jc w:val="both"/>
      </w:pPr>
      <w:r>
        <w:rPr>
          <w:rFonts w:ascii="Arial" w:cs="Arial" w:eastAsia="Arial" w:hAnsi="Arial"/>
          <w:b/>
          <w:bCs/>
          <w:sz w:val="22"/>
          <w:szCs w:val="22"/>
        </w:rPr>
        <w:t xml:space="preserve">H1 — Informational richness and deal premium: </w:t>
      </w:r>
      <w:r>
        <w:rPr>
          <w:rFonts w:ascii="Arial" w:cs="Arial" w:eastAsia="Arial" w:hAnsi="Arial"/>
          <w:sz w:val="22"/>
          <w:szCs w:val="22"/>
        </w:rPr>
        <w:t xml:space="preserve">Partially supported with a twist. The original hypothesis predicted that more specific disclosure would be associated with higher premia (better valuation → higher bids). The evidence shows the opposite sign: specificity is associated with </w:t>
      </w:r>
      <w:r>
        <w:rPr>
          <w:rFonts w:ascii="Arial" w:cs="Arial" w:eastAsia="Arial" w:hAnsi="Arial"/>
          <w:i/>
          <w:iCs/>
          <w:sz w:val="22"/>
          <w:szCs w:val="22"/>
        </w:rPr>
        <w:t xml:space="preserve">lower</w:t>
      </w:r>
      <w:r>
        <w:rPr>
          <w:rFonts w:ascii="Arial" w:cs="Arial" w:eastAsia="Arial" w:hAnsi="Arial"/>
          <w:sz w:val="22"/>
          <w:szCs w:val="22"/>
        </w:rPr>
        <w:t xml:space="preserve"> premia. The most defensible interpretation is the precision-driven reduction in overpayment mechanism: when the target’s information environment is more transparent, acquirers can price more precisely, reducing the uncertainty premium. This is a well-documented channel in the literature (e.g., Officer 2003 on acquirer information advantage; Marquardt and Zur 2015 on disclosure and deal premia).</w:t>
      </w:r>
    </w:p>
    <w:p>
      <w:pPr>
        <w:spacing w:after="120" w:before="0" w:line="276"/>
        <w:jc w:val="both"/>
      </w:pPr>
      <w:r>
        <w:rPr>
          <w:rFonts w:ascii="Arial" w:cs="Arial" w:eastAsia="Arial" w:hAnsi="Arial"/>
          <w:b/>
          <w:bCs/>
          <w:sz w:val="22"/>
          <w:szCs w:val="22"/>
        </w:rPr>
        <w:t xml:space="preserve">H2 — Risk disclosure and completion: </w:t>
      </w:r>
      <w:r>
        <w:rPr>
          <w:rFonts w:ascii="Arial" w:cs="Arial" w:eastAsia="Arial" w:hAnsi="Arial"/>
          <w:sz w:val="22"/>
          <w:szCs w:val="22"/>
        </w:rPr>
        <w:t xml:space="preserve">Strongly supported. Risk transparency is the most robust predictor of completion across specifications, including the demanding Industry×Year FE. The mechanism is consistent: firm-specific risk disclosure reduces due diligence surprises, regulatory friction, and renegotiation risk.</w:t>
      </w:r>
    </w:p>
    <w:p>
      <w:pPr>
        <w:spacing w:after="120" w:before="0" w:line="276"/>
        <w:jc w:val="both"/>
      </w:pPr>
      <w:r>
        <w:rPr>
          <w:rFonts w:ascii="Arial" w:cs="Arial" w:eastAsia="Arial" w:hAnsi="Arial"/>
          <w:b/>
          <w:bCs/>
          <w:sz w:val="22"/>
          <w:szCs w:val="22"/>
        </w:rPr>
        <w:t xml:space="preserve">H3 — Tone and credibility: </w:t>
      </w:r>
      <w:r>
        <w:rPr>
          <w:rFonts w:ascii="Arial" w:cs="Arial" w:eastAsia="Arial" w:hAnsi="Arial"/>
          <w:sz w:val="22"/>
          <w:szCs w:val="22"/>
        </w:rPr>
        <w:t xml:space="preserve">Mixed evidence. Tone is not significant for premium or completion, but is significant (negative, i.e., positive tone → shorter duration) for time-to-close. The research design anticipated this complexity by not treating tone as a simple directional proxy. The duration result may reflect a negotiation-facilitation channel: positive tone reduces adversarial dynamics in the post-announcement phase.</w:t>
      </w:r>
    </w:p>
    <w:p>
      <w:pPr>
        <w:pStyle w:val="Heading1"/>
        <w:spacing w:after="160" w:before="300" w:line="276"/>
        <w:jc w:val="both"/>
      </w:pPr>
      <w:r>
        <w:rPr>
          <w:rFonts w:ascii="Arial" w:cs="Arial" w:eastAsia="Arial" w:hAnsi="Arial"/>
          <w:b/>
          <w:bCs/>
          <w:sz w:val="28"/>
          <w:szCs w:val="28"/>
        </w:rPr>
        <w:t xml:space="preserve">7. Integrated Narrative</w:t>
      </w:r>
    </w:p>
    <w:p>
      <w:pPr>
        <w:spacing w:after="120" w:before="0" w:line="276"/>
        <w:jc w:val="both"/>
      </w:pPr>
      <w:r>
        <w:rPr>
          <w:rFonts w:ascii="Arial" w:cs="Arial" w:eastAsia="Arial" w:hAnsi="Arial"/>
          <w:sz w:val="22"/>
          <w:szCs w:val="22"/>
        </w:rPr>
        <w:t xml:space="preserve">The results, taken together, paint a coherent picture of how different dimensions of a target’s routine disclosure environment are associated with distinct aspects of the M&amp;A process:</w:t>
      </w:r>
    </w:p>
    <w:p>
      <w:pPr>
        <w:spacing w:after="120" w:before="0" w:line="276"/>
        <w:jc w:val="both"/>
      </w:pPr>
      <w:r>
        <w:rPr>
          <w:rFonts w:ascii="Arial" w:cs="Arial" w:eastAsia="Arial" w:hAnsi="Arial"/>
          <w:b/>
          <w:bCs/>
          <w:sz w:val="22"/>
          <w:szCs w:val="22"/>
        </w:rPr>
        <w:t xml:space="preserve">Pricing is most sensitive to informational precision. </w:t>
      </w:r>
      <w:r>
        <w:rPr>
          <w:rFonts w:ascii="Arial" w:cs="Arial" w:eastAsia="Arial" w:hAnsi="Arial"/>
          <w:sz w:val="22"/>
          <w:szCs w:val="22"/>
        </w:rPr>
        <w:t xml:space="preserve">Operational specificity—the density of concrete, quantitative information—is the dominant disclosure attribute for premium determination. The negative association suggests that acquirers price targets more efficiently when information is rich, reducing the need for a large bid premium to compensate for valuation uncertainty.</w:t>
      </w:r>
    </w:p>
    <w:p>
      <w:pPr>
        <w:spacing w:after="120" w:before="0" w:line="276"/>
        <w:jc w:val="both"/>
      </w:pPr>
      <w:r>
        <w:rPr>
          <w:rFonts w:ascii="Arial" w:cs="Arial" w:eastAsia="Arial" w:hAnsi="Arial"/>
          <w:b/>
          <w:bCs/>
          <w:sz w:val="22"/>
          <w:szCs w:val="22"/>
        </w:rPr>
        <w:t xml:space="preserve">Execution is most sensitive to risk transparency. </w:t>
      </w:r>
      <w:r>
        <w:rPr>
          <w:rFonts w:ascii="Arial" w:cs="Arial" w:eastAsia="Arial" w:hAnsi="Arial"/>
          <w:sz w:val="22"/>
          <w:szCs w:val="22"/>
        </w:rPr>
        <w:t xml:space="preserve">The idiosyncrasy of risk disclosure (relative to industry peers) is the strongest predictor of both completion and speed. This construct specifically captures the degree to which a firm reveals its own risks rather than repeating generic boilerplate. When risk disclosure is specific, post-announcement frictions—due diligence surprises, regulatory concerns, financing conditionality—are reduced.</w:t>
      </w:r>
    </w:p>
    <w:p>
      <w:pPr>
        <w:spacing w:after="120" w:before="0" w:line="276"/>
        <w:jc w:val="both"/>
      </w:pPr>
      <w:r>
        <w:rPr>
          <w:rFonts w:ascii="Arial" w:cs="Arial" w:eastAsia="Arial" w:hAnsi="Arial"/>
          <w:b/>
          <w:bCs/>
          <w:sz w:val="22"/>
          <w:szCs w:val="22"/>
        </w:rPr>
        <w:t xml:space="preserve">Processing costs matter for duration. </w:t>
      </w:r>
      <w:r>
        <w:rPr>
          <w:rFonts w:ascii="Arial" w:cs="Arial" w:eastAsia="Arial" w:hAnsi="Arial"/>
          <w:sz w:val="22"/>
          <w:szCs w:val="22"/>
        </w:rPr>
        <w:t xml:space="preserve">Document length and (to a lesser extent) readability are significantly associated with slower closing. These variables are interpreted cautiously given their correlation with firm complexity, but they suggest that the real cost of extracting information from disclosure has measurable consequences for deal execution timelines.</w:t>
      </w:r>
    </w:p>
    <w:p>
      <w:pPr>
        <w:spacing w:after="120" w:before="0" w:line="276"/>
        <w:jc w:val="both"/>
      </w:pPr>
      <w:r>
        <w:rPr>
          <w:rFonts w:ascii="Arial" w:cs="Arial" w:eastAsia="Arial" w:hAnsi="Arial"/>
          <w:sz w:val="22"/>
          <w:szCs w:val="22"/>
        </w:rPr>
        <w:t xml:space="preserve">The fact that different constructs dominate different outcomes strengthens the overall contribution: this is not a single-mechanism story, but a multi-dimensional mapping of disclosure attributes to deal outcomes that is consistent with the theoretical predictions of the disclosure and M&amp;A literatures.</w:t>
      </w:r>
    </w:p>
    <w:p>
      <w:pPr>
        <w:pStyle w:val="Heading1"/>
        <w:spacing w:after="160" w:before="300" w:line="276"/>
        <w:jc w:val="both"/>
      </w:pPr>
      <w:r>
        <w:rPr>
          <w:rFonts w:ascii="Arial" w:cs="Arial" w:eastAsia="Arial" w:hAnsi="Arial"/>
          <w:b/>
          <w:bCs/>
          <w:sz w:val="28"/>
          <w:szCs w:val="28"/>
        </w:rPr>
        <w:t xml:space="preserve">8. Methodological Notes for Discussion</w:t>
      </w:r>
    </w:p>
    <w:p>
      <w:pPr>
        <w:pStyle w:val="Heading2"/>
        <w:spacing w:after="160" w:before="200" w:line="276"/>
        <w:jc w:val="both"/>
      </w:pPr>
      <w:r>
        <w:rPr>
          <w:rFonts w:ascii="Arial" w:cs="Arial" w:eastAsia="Arial" w:hAnsi="Arial"/>
          <w:b/>
          <w:bCs/>
          <w:sz w:val="25"/>
          <w:szCs w:val="25"/>
        </w:rPr>
        <w:t xml:space="preserve">8.1 What Works Well</w:t>
      </w:r>
    </w:p>
    <w:p>
      <w:pPr>
        <w:spacing w:after="120" w:before="0" w:line="276"/>
        <w:jc w:val="both"/>
      </w:pPr>
      <w:r>
        <w:rPr>
          <w:rFonts w:ascii="Arial" w:cs="Arial" w:eastAsia="Arial" w:hAnsi="Arial"/>
          <w:sz w:val="22"/>
          <w:szCs w:val="22"/>
        </w:rPr>
        <w:t xml:space="preserve">The specificity–premium and risk transparency–completion results are robust across multiple specifications, including the demanding Industry×Year FE. The AFT log-normal provides a clean, interpretable duration analysis that correctly addresses the PH violation. The NLP pipeline is fully replicable and transparent, with all constructs traceable to explicit formulas and dictionaries.</w:t>
      </w:r>
    </w:p>
    <w:p>
      <w:pPr>
        <w:pStyle w:val="Heading2"/>
        <w:spacing w:after="160" w:before="200" w:line="276"/>
        <w:jc w:val="both"/>
      </w:pPr>
      <w:r>
        <w:rPr>
          <w:rFonts w:ascii="Arial" w:cs="Arial" w:eastAsia="Arial" w:hAnsi="Arial"/>
          <w:b/>
          <w:bCs/>
          <w:sz w:val="25"/>
          <w:szCs w:val="25"/>
        </w:rPr>
        <w:t xml:space="preserve">8.2 Limitations to Acknowledge</w:t>
      </w:r>
    </w:p>
    <w:p>
      <w:pPr>
        <w:spacing w:after="120" w:before="0" w:line="276"/>
        <w:jc w:val="both"/>
      </w:pPr>
      <w:r>
        <w:rPr>
          <w:rFonts w:ascii="Arial" w:cs="Arial" w:eastAsia="Arial" w:hAnsi="Arial"/>
          <w:b/>
          <w:bCs/>
          <w:sz w:val="22"/>
          <w:szCs w:val="22"/>
        </w:rPr>
        <w:t xml:space="preserve">Endogeneity: </w:t>
      </w:r>
      <w:r>
        <w:rPr>
          <w:rFonts w:ascii="Arial" w:cs="Arial" w:eastAsia="Arial" w:hAnsi="Arial"/>
          <w:sz w:val="22"/>
          <w:szCs w:val="22"/>
        </w:rPr>
        <w:t xml:space="preserve">Despite the lagged timing structure, disclosure quality reflects firm characteristics (size, complexity, governance) that may independently affect deal outcomes. The design mitigates this through FE and controls but cannot eliminate it. This is standard in the routine-disclosure literature.</w:t>
      </w:r>
    </w:p>
    <w:p>
      <w:pPr>
        <w:spacing w:after="120" w:before="0" w:line="276"/>
        <w:jc w:val="both"/>
      </w:pPr>
      <w:r>
        <w:rPr>
          <w:rFonts w:ascii="Arial" w:cs="Arial" w:eastAsia="Arial" w:hAnsi="Arial"/>
          <w:b/>
          <w:bCs/>
          <w:sz w:val="22"/>
          <w:szCs w:val="22"/>
        </w:rPr>
        <w:t xml:space="preserve">Missing Compustat controls: </w:t>
      </w:r>
      <w:r>
        <w:rPr>
          <w:rFonts w:ascii="Arial" w:cs="Arial" w:eastAsia="Arial" w:hAnsi="Arial"/>
          <w:sz w:val="22"/>
          <w:szCs w:val="22"/>
        </w:rPr>
        <w:t xml:space="preserve">The current specification includes deal-level controls (value, payment, tender) but does not yet include firm-level fundamentals from Compustat (ROA, leverage, Tobin’s Q). Adding these would strengthen the claim that disclosure effects are not proxying for financial characteristics. This is the single most important data addition for the final version.</w:t>
      </w:r>
    </w:p>
    <w:p>
      <w:pPr>
        <w:spacing w:after="120" w:before="0" w:line="276"/>
        <w:jc w:val="both"/>
      </w:pPr>
      <w:r>
        <w:rPr>
          <w:rFonts w:ascii="Arial" w:cs="Arial" w:eastAsia="Arial" w:hAnsi="Arial"/>
          <w:b/>
          <w:bCs/>
          <w:sz w:val="22"/>
          <w:szCs w:val="22"/>
        </w:rPr>
        <w:t xml:space="preserve">Low R² in premium regressions: </w:t>
      </w:r>
      <w:r>
        <w:rPr>
          <w:rFonts w:ascii="Arial" w:cs="Arial" w:eastAsia="Arial" w:hAnsi="Arial"/>
          <w:sz w:val="22"/>
          <w:szCs w:val="22"/>
        </w:rPr>
        <w:t xml:space="preserve">6% with Year FE is low but standard. The literature consistently documents that cross-sectional premium variation is dominated by idiosyncratic, deal-specific factors that no model captures. The jump to 25% with Industry×Year FE confirms that the specification is absorbing meaningful variation.</w:t>
      </w:r>
    </w:p>
    <w:p>
      <w:pPr>
        <w:spacing w:after="120" w:before="0" w:line="276"/>
        <w:jc w:val="both"/>
      </w:pPr>
      <w:r>
        <w:rPr>
          <w:rFonts w:ascii="Arial" w:cs="Arial" w:eastAsia="Arial" w:hAnsi="Arial"/>
          <w:b/>
          <w:bCs/>
          <w:sz w:val="22"/>
          <w:szCs w:val="22"/>
        </w:rPr>
        <w:t xml:space="preserve">PH violation in Cox: </w:t>
      </w:r>
      <w:r>
        <w:rPr>
          <w:rFonts w:ascii="Arial" w:cs="Arial" w:eastAsia="Arial" w:hAnsi="Arial"/>
          <w:sz w:val="22"/>
          <w:szCs w:val="22"/>
        </w:rPr>
        <w:t xml:space="preserve">The Cox model is retained as robustness but is not the primary duration specification. The PH violation is structural (related to tender, payment method, and specificity), not a coding error. The AFT is the appropriate alternative and is well established in the literature.</w:t>
      </w:r>
    </w:p>
    <w:p>
      <w:pPr>
        <w:pStyle w:val="Heading2"/>
        <w:spacing w:after="160" w:before="200" w:line="276"/>
        <w:jc w:val="both"/>
      </w:pPr>
      <w:r>
        <w:rPr>
          <w:rFonts w:ascii="Arial" w:cs="Arial" w:eastAsia="Arial" w:hAnsi="Arial"/>
          <w:b/>
          <w:bCs/>
          <w:sz w:val="25"/>
          <w:szCs w:val="25"/>
        </w:rPr>
        <w:t xml:space="preserve">8.3 Planned Extensions</w:t>
      </w:r>
    </w:p>
    <w:p>
      <w:pPr>
        <w:spacing w:after="120" w:before="0" w:line="276"/>
        <w:jc w:val="both"/>
      </w:pPr>
      <w:r>
        <w:rPr>
          <w:rFonts w:ascii="Arial" w:cs="Arial" w:eastAsia="Arial" w:hAnsi="Arial"/>
          <w:sz w:val="22"/>
          <w:szCs w:val="22"/>
        </w:rPr>
        <w:t xml:space="preserve">(i) Compustat merge for firm-level controls (ROA, leverage, market-to-book); (ii) alternative premium windows (1-week, 4-week) as robustness; (iii) heterogeneity tests (interaction with payment method, industry relatedness); (iv) placebo test using the 10-K from two years prior to verify temporal specificity of the disclosure–outcome association.</w:t>
      </w:r>
    </w:p>
    <w:p>
      <w:pPr>
        <w:pStyle w:val="Heading1"/>
        <w:spacing w:after="160" w:before="300" w:line="276"/>
        <w:jc w:val="both"/>
      </w:pPr>
      <w:r>
        <w:rPr>
          <w:rFonts w:ascii="Arial" w:cs="Arial" w:eastAsia="Arial" w:hAnsi="Arial"/>
          <w:b/>
          <w:bCs/>
          <w:sz w:val="28"/>
          <w:szCs w:val="28"/>
        </w:rPr>
        <w:t xml:space="preserve">9. Technical Pipeline Summary</w:t>
      </w:r>
    </w:p>
    <w:p>
      <w:pPr>
        <w:spacing w:after="120" w:before="0" w:line="276"/>
        <w:jc w:val="both"/>
      </w:pPr>
      <w:r>
        <w:rPr>
          <w:rFonts w:ascii="Arial" w:cs="Arial" w:eastAsia="Arial" w:hAnsi="Arial"/>
          <w:sz w:val="22"/>
          <w:szCs w:val="22"/>
        </w:rPr>
        <w:t xml:space="preserve">The full analysis is implemented in R across a modular, idempotent pipeline. Each module produces documented intermediate outputs that can be independently reproduced.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280"/>
        <w:gridCol w:w="2280"/>
      </w:tblGrid>
      <w:tr>
        <w:tc>
          <w:tcPr>
            <w:tcW w:type="dxa" w:w="1600"/>
            <w:tcBorders>
              <w:top w:val="single" w:color="BBBBBB" w:sz="1"/>
              <w:left w:val="single" w:color="BBBBBB" w:sz="1"/>
              <w:bottom w:val="single" w:color="BBBBBB" w:sz="1"/>
              <w:right w:val="single" w:color="BBBBBB" w:sz="1"/>
            </w:tcBorders>
            <w:shd w:fill="2E5A88" w:val="clear"/>
            <w:tcMar>
              <w:top w:type="dxa" w:w="60"/>
              <w:left w:type="dxa" w:w="100"/>
              <w:bottom w:type="dxa" w:w="60"/>
              <w:right w:type="dxa" w:w="100"/>
            </w:tcMar>
            <w:vAlign w:val="center"/>
          </w:tcPr>
          <w:p>
            <w:pPr>
              <w:spacing w:after="0" w:before="0"/>
              <w:jc w:val="left"/>
            </w:pPr>
            <w:r>
              <w:rPr>
                <w:rFonts w:ascii="Arial" w:cs="Arial" w:eastAsia="Arial" w:hAnsi="Arial"/>
                <w:b/>
                <w:bCs/>
                <w:color w:val="FFFFFF"/>
                <w:sz w:val="18"/>
                <w:szCs w:val="18"/>
              </w:rPr>
              <w:t xml:space="preserve">Module</w:t>
            </w:r>
          </w:p>
        </w:tc>
        <w:tc>
          <w:tcPr>
            <w:tcW w:type="dxa" w:w="3200"/>
            <w:tcBorders>
              <w:top w:val="single" w:color="BBBBBB" w:sz="1"/>
              <w:left w:val="single" w:color="BBBBBB" w:sz="1"/>
              <w:bottom w:val="single" w:color="BBBBBB" w:sz="1"/>
              <w:right w:val="single" w:color="BBBBBB" w:sz="1"/>
            </w:tcBorders>
            <w:shd w:fill="2E5A88" w:val="clear"/>
            <w:tcMar>
              <w:top w:type="dxa" w:w="60"/>
              <w:left w:type="dxa" w:w="100"/>
              <w:bottom w:type="dxa" w:w="60"/>
              <w:right w:type="dxa" w:w="100"/>
            </w:tcMar>
            <w:vAlign w:val="center"/>
          </w:tcPr>
          <w:p>
            <w:pPr>
              <w:spacing w:after="0" w:before="0"/>
              <w:jc w:val="left"/>
            </w:pPr>
            <w:r>
              <w:rPr>
                <w:rFonts w:ascii="Arial" w:cs="Arial" w:eastAsia="Arial" w:hAnsi="Arial"/>
                <w:b/>
                <w:bCs/>
                <w:color w:val="FFFFFF"/>
                <w:sz w:val="18"/>
                <w:szCs w:val="18"/>
              </w:rPr>
              <w:t xml:space="preserve">Function</w:t>
            </w:r>
          </w:p>
        </w:tc>
        <w:tc>
          <w:tcPr>
            <w:tcW w:type="dxa" w:w="2280"/>
            <w:tcBorders>
              <w:top w:val="single" w:color="BBBBBB" w:sz="1"/>
              <w:left w:val="single" w:color="BBBBBB" w:sz="1"/>
              <w:bottom w:val="single" w:color="BBBBBB" w:sz="1"/>
              <w:right w:val="single" w:color="BBBBBB" w:sz="1"/>
            </w:tcBorders>
            <w:shd w:fill="2E5A88" w:val="clear"/>
            <w:tcMar>
              <w:top w:type="dxa" w:w="60"/>
              <w:left w:type="dxa" w:w="100"/>
              <w:bottom w:type="dxa" w:w="60"/>
              <w:right w:type="dxa" w:w="100"/>
            </w:tcMar>
            <w:vAlign w:val="center"/>
          </w:tcPr>
          <w:p>
            <w:pPr>
              <w:spacing w:after="0" w:before="0"/>
              <w:jc w:val="left"/>
            </w:pPr>
            <w:r>
              <w:rPr>
                <w:rFonts w:ascii="Arial" w:cs="Arial" w:eastAsia="Arial" w:hAnsi="Arial"/>
                <w:b/>
                <w:bCs/>
                <w:color w:val="FFFFFF"/>
                <w:sz w:val="18"/>
                <w:szCs w:val="18"/>
              </w:rPr>
              <w:t xml:space="preserve">Input</w:t>
            </w:r>
          </w:p>
        </w:tc>
        <w:tc>
          <w:tcPr>
            <w:tcW w:type="dxa" w:w="2280"/>
            <w:tcBorders>
              <w:top w:val="single" w:color="BBBBBB" w:sz="1"/>
              <w:left w:val="single" w:color="BBBBBB" w:sz="1"/>
              <w:bottom w:val="single" w:color="BBBBBB" w:sz="1"/>
              <w:right w:val="single" w:color="BBBBBB" w:sz="1"/>
            </w:tcBorders>
            <w:shd w:fill="2E5A88" w:val="clear"/>
            <w:tcMar>
              <w:top w:type="dxa" w:w="60"/>
              <w:left w:type="dxa" w:w="100"/>
              <w:bottom w:type="dxa" w:w="60"/>
              <w:right w:type="dxa" w:w="100"/>
            </w:tcMar>
            <w:vAlign w:val="center"/>
          </w:tcPr>
          <w:p>
            <w:pPr>
              <w:spacing w:after="0" w:before="0"/>
              <w:jc w:val="left"/>
            </w:pPr>
            <w:r>
              <w:rPr>
                <w:rFonts w:ascii="Arial" w:cs="Arial" w:eastAsia="Arial" w:hAnsi="Arial"/>
                <w:b/>
                <w:bCs/>
                <w:color w:val="FFFFFF"/>
                <w:sz w:val="18"/>
                <w:szCs w:val="18"/>
              </w:rPr>
              <w:t xml:space="preserve">Output</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01 v3.1</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Text cleaning (case-preserved)</w:t>
            </w:r>
          </w:p>
        </w:tc>
        <w:tc>
          <w:tcPr>
            <w:tcW w:type="dxa" w:w="2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EDGAR 10-K</w:t>
            </w:r>
          </w:p>
        </w:tc>
        <w:tc>
          <w:tcPr>
            <w:tcW w:type="dxa" w:w="2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cleaned_text.rds</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02 v4.1</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Tokenisation + DTM</w:t>
            </w:r>
          </w:p>
        </w:tc>
        <w:tc>
          <w:tcPr>
            <w:tcW w:type="dxa" w:w="2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cleaned_text.rds</w:t>
            </w:r>
          </w:p>
        </w:tc>
        <w:tc>
          <w:tcPr>
            <w:tcW w:type="dxa" w:w="2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tokens_dtm.rds</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03 v6.1</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Index construction</w:t>
            </w:r>
          </w:p>
        </w:tc>
        <w:tc>
          <w:tcPr>
            <w:tcW w:type="dxa" w:w="2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tokens_dtm.rds</w:t>
            </w:r>
          </w:p>
        </w:tc>
        <w:tc>
          <w:tcPr>
            <w:tcW w:type="dxa" w:w="2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disclosure_indices.rds</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04 v3</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KWIC validation</w:t>
            </w:r>
          </w:p>
        </w:tc>
        <w:tc>
          <w:tcPr>
            <w:tcW w:type="dxa" w:w="2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disclosure_indices.rds</w:t>
            </w:r>
          </w:p>
        </w:tc>
        <w:tc>
          <w:tcPr>
            <w:tcW w:type="dxa" w:w="2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KWIC concordances</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05 v3</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Descriptive analysis</w:t>
            </w:r>
          </w:p>
        </w:tc>
        <w:tc>
          <w:tcPr>
            <w:tcW w:type="dxa" w:w="2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disclosure_indices.rds</w:t>
            </w:r>
          </w:p>
        </w:tc>
        <w:tc>
          <w:tcPr>
            <w:tcW w:type="dxa" w:w="2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Figures + tables</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06 FINAL</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Dataset assembly</w:t>
            </w:r>
          </w:p>
        </w:tc>
        <w:tc>
          <w:tcPr>
            <w:tcW w:type="dxa" w:w="2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SDC + indices</w:t>
            </w:r>
          </w:p>
        </w:tc>
        <w:tc>
          <w:tcPr>
            <w:tcW w:type="dxa" w:w="2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analysis_dataset.rds</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07 v4.1</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Processing costs (Fog, length)</w:t>
            </w:r>
          </w:p>
        </w:tc>
        <w:tc>
          <w:tcPr>
            <w:tcW w:type="dxa" w:w="2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cleaned_text.rds</w:t>
            </w:r>
          </w:p>
        </w:tc>
        <w:tc>
          <w:tcPr>
            <w:tcW w:type="dxa" w:w="2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Fog/FK/length vars</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08 v6</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Econometric preparation</w:t>
            </w:r>
          </w:p>
        </w:tc>
        <w:tc>
          <w:tcPr>
            <w:tcW w:type="dxa" w:w="2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analysis_dataset.rds</w:t>
            </w:r>
          </w:p>
        </w:tc>
        <w:tc>
          <w:tcPr>
            <w:tcW w:type="dxa" w:w="2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econ_*.rds subsets</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09 v6</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Model estimation</w:t>
            </w:r>
          </w:p>
        </w:tc>
        <w:tc>
          <w:tcPr>
            <w:tcW w:type="dxa" w:w="2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econ_*.rds</w:t>
            </w:r>
          </w:p>
        </w:tc>
        <w:tc>
          <w:tcPr>
            <w:tcW w:type="dxa" w:w="22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before="0"/>
              <w:jc w:val="left"/>
            </w:pPr>
            <w:r>
              <w:rPr>
                <w:rFonts w:ascii="Arial" w:cs="Arial" w:eastAsia="Arial" w:hAnsi="Arial"/>
                <w:sz w:val="19"/>
                <w:szCs w:val="19"/>
              </w:rPr>
              <w:t xml:space="preserve">CSV results + report</w:t>
            </w:r>
          </w:p>
        </w:tc>
      </w:tr>
    </w:tbl>
    <w:p>
      <w:pPr>
        <w:spacing w:after="200" w:before="0" w:line="276"/>
        <w:jc w:val="both"/>
      </w:pPr>
      <w:r>
        <w:rPr>
          <w:rFonts w:ascii="Arial" w:cs="Arial" w:eastAsia="Arial" w:hAnsi="Arial"/>
          <w:sz w:val="22"/>
          <w:szCs w:val="22"/>
        </w:rPr>
        <w:t xml:space="preserve"/>
      </w:r>
    </w:p>
    <w:p>
      <w:pPr>
        <w:spacing w:after="120" w:before="0" w:line="276"/>
        <w:jc w:val="both"/>
      </w:pPr>
      <w:r>
        <w:rPr>
          <w:rFonts w:ascii="Arial" w:cs="Arial" w:eastAsia="Arial" w:hAnsi="Arial"/>
          <w:i/>
          <w:iCs/>
          <w:color w:val="555555"/>
          <w:sz w:val="22"/>
          <w:szCs w:val="22"/>
        </w:rPr>
        <w:t xml:space="preserve">All code, data dictionaries, and intermediate outputs are available for inspection. The pipeline is designed for replicability and auditability, consistent with MSc-level methodological standards.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1A3C5E"/>
      <w:sz w:val="28"/>
      <w:szCs w:val="28"/>
    </w:rPr>
  </w:style>
  <w:style w:type="paragraph" w:styleId="Heading2">
    <w:name w:val="Heading 2"/>
    <w:basedOn w:val="Normal"/>
    <w:next w:val="Normal"/>
    <w:qFormat/>
    <w:pPr>
      <w:spacing w:before="200" w:after="120"/>
      <w:outlineLvl w:val="1"/>
    </w:pPr>
    <w:rPr>
      <w:rFonts w:ascii="Arial" w:cs="Arial" w:eastAsia="Arial" w:hAnsi="Arial"/>
      <w:b/>
      <w:bCs/>
      <w:color w:val="2E5A8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2026-02-16T19:46:59.142Z</dcterms:created>
  <dcterms:modified xsi:type="dcterms:W3CDTF">2026-02-16T19:46:59.143Z</dcterms:modified>
</cp:coreProperties>
</file>

<file path=docProps/custom.xml><?xml version="1.0" encoding="utf-8"?>
<Properties xmlns="http://schemas.openxmlformats.org/officeDocument/2006/custom-properties" xmlns:vt="http://schemas.openxmlformats.org/officeDocument/2006/docPropsVTypes"/>
</file>