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3F4B" w14:textId="189DD15C" w:rsidR="00BA124F" w:rsidRDefault="00BA124F" w:rsidP="00BA124F">
      <w:pPr>
        <w:jc w:val="center"/>
        <w:rPr>
          <w:rFonts w:ascii="Times New Roman" w:hAnsi="Times New Roman" w:cs="Times New Roman"/>
          <w:b/>
          <w:sz w:val="36"/>
          <w:szCs w:val="36"/>
          <w:lang w:val="it-IT"/>
        </w:rPr>
      </w:pPr>
      <w:r w:rsidRPr="00E445A4">
        <w:rPr>
          <w:rFonts w:ascii="Times New Roman" w:hAnsi="Times New Roman" w:cs="Times New Roman"/>
          <w:b/>
          <w:sz w:val="36"/>
          <w:szCs w:val="36"/>
          <w:lang w:val="it-IT"/>
        </w:rPr>
        <w:t>A</w:t>
      </w:r>
      <w:r w:rsidR="00A245B9" w:rsidRPr="00E445A4">
        <w:rPr>
          <w:rFonts w:ascii="Times New Roman" w:hAnsi="Times New Roman" w:cs="Times New Roman"/>
          <w:b/>
          <w:sz w:val="36"/>
          <w:szCs w:val="36"/>
          <w:lang w:val="it-IT"/>
        </w:rPr>
        <w:t xml:space="preserve">nalisi del </w:t>
      </w:r>
      <w:r w:rsidRPr="00E445A4">
        <w:rPr>
          <w:rFonts w:ascii="Times New Roman" w:hAnsi="Times New Roman" w:cs="Times New Roman"/>
          <w:b/>
          <w:sz w:val="36"/>
          <w:szCs w:val="36"/>
          <w:lang w:val="it-IT"/>
        </w:rPr>
        <w:t>C</w:t>
      </w:r>
      <w:r w:rsidR="00A245B9" w:rsidRPr="00E445A4">
        <w:rPr>
          <w:rFonts w:ascii="Times New Roman" w:hAnsi="Times New Roman" w:cs="Times New Roman"/>
          <w:b/>
          <w:sz w:val="36"/>
          <w:szCs w:val="36"/>
          <w:lang w:val="it-IT"/>
        </w:rPr>
        <w:t xml:space="preserve">redit </w:t>
      </w:r>
      <w:r w:rsidRPr="00E445A4">
        <w:rPr>
          <w:rFonts w:ascii="Times New Roman" w:hAnsi="Times New Roman" w:cs="Times New Roman"/>
          <w:b/>
          <w:sz w:val="36"/>
          <w:szCs w:val="36"/>
          <w:lang w:val="it-IT"/>
        </w:rPr>
        <w:t>D</w:t>
      </w:r>
      <w:r w:rsidR="00A245B9" w:rsidRPr="00E445A4">
        <w:rPr>
          <w:rFonts w:ascii="Times New Roman" w:hAnsi="Times New Roman" w:cs="Times New Roman"/>
          <w:b/>
          <w:sz w:val="36"/>
          <w:szCs w:val="36"/>
          <w:lang w:val="it-IT"/>
        </w:rPr>
        <w:t xml:space="preserve">efault </w:t>
      </w:r>
      <w:r w:rsidRPr="00E445A4">
        <w:rPr>
          <w:rFonts w:ascii="Times New Roman" w:hAnsi="Times New Roman" w:cs="Times New Roman"/>
          <w:b/>
          <w:sz w:val="36"/>
          <w:szCs w:val="36"/>
          <w:lang w:val="it-IT"/>
        </w:rPr>
        <w:t>R</w:t>
      </w:r>
      <w:r w:rsidR="00A245B9" w:rsidRPr="00E445A4">
        <w:rPr>
          <w:rFonts w:ascii="Times New Roman" w:hAnsi="Times New Roman" w:cs="Times New Roman"/>
          <w:b/>
          <w:sz w:val="36"/>
          <w:szCs w:val="36"/>
          <w:lang w:val="it-IT"/>
        </w:rPr>
        <w:t>isk delle imprese e la valutazione dell’investimento attraverso il modello di Black &amp; Scholes</w:t>
      </w:r>
    </w:p>
    <w:p w14:paraId="79756C24" w14:textId="77777777" w:rsidR="00E445A4" w:rsidRPr="00E445A4" w:rsidRDefault="00E445A4" w:rsidP="00BA124F">
      <w:pPr>
        <w:jc w:val="center"/>
        <w:rPr>
          <w:rFonts w:ascii="Times New Roman" w:hAnsi="Times New Roman" w:cs="Times New Roman"/>
          <w:b/>
          <w:sz w:val="36"/>
          <w:szCs w:val="36"/>
          <w:lang w:val="it-IT"/>
        </w:rPr>
      </w:pPr>
    </w:p>
    <w:p w14:paraId="010D91BC" w14:textId="77777777" w:rsidR="00BA124F" w:rsidRPr="00AE578D" w:rsidRDefault="00BA124F" w:rsidP="00BA124F">
      <w:pPr>
        <w:spacing w:line="240" w:lineRule="auto"/>
        <w:jc w:val="right"/>
        <w:rPr>
          <w:rFonts w:ascii="Times New Roman" w:hAnsi="Times New Roman" w:cs="Times New Roman"/>
          <w:bCs/>
          <w:i/>
          <w:iCs/>
          <w:lang w:val="it-IT"/>
        </w:rPr>
      </w:pPr>
      <w:r w:rsidRPr="00AE578D">
        <w:rPr>
          <w:rFonts w:ascii="Times New Roman" w:hAnsi="Times New Roman" w:cs="Times New Roman"/>
          <w:bCs/>
          <w:i/>
          <w:iCs/>
          <w:lang w:val="it-IT"/>
        </w:rPr>
        <w:t>Di:</w:t>
      </w:r>
    </w:p>
    <w:p w14:paraId="582B765A" w14:textId="60DFB41C" w:rsidR="00BA124F" w:rsidRPr="00BA124F" w:rsidRDefault="00BA124F" w:rsidP="00BA124F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BA124F">
        <w:rPr>
          <w:rFonts w:ascii="Times New Roman" w:hAnsi="Times New Roman" w:cs="Times New Roman"/>
          <w:b/>
          <w:sz w:val="28"/>
          <w:szCs w:val="28"/>
          <w:lang w:val="it-IT"/>
        </w:rPr>
        <w:t>Ferlito Alberto</w:t>
      </w:r>
    </w:p>
    <w:p w14:paraId="5CC96992" w14:textId="5E694B2D" w:rsidR="00BA124F" w:rsidRPr="00BA124F" w:rsidRDefault="00BA124F" w:rsidP="00BA124F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BA124F">
        <w:rPr>
          <w:rFonts w:ascii="Times New Roman" w:hAnsi="Times New Roman" w:cs="Times New Roman"/>
          <w:b/>
          <w:sz w:val="28"/>
          <w:szCs w:val="28"/>
          <w:lang w:val="it-IT"/>
        </w:rPr>
        <w:t>Sanfilippo Giuseppe Antonio</w:t>
      </w:r>
    </w:p>
    <w:p w14:paraId="0875F0D1" w14:textId="28C2AA59" w:rsidR="00BA124F" w:rsidRDefault="00BA124F" w:rsidP="00BA124F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BA124F">
        <w:rPr>
          <w:rFonts w:ascii="Times New Roman" w:hAnsi="Times New Roman" w:cs="Times New Roman"/>
          <w:b/>
          <w:sz w:val="28"/>
          <w:szCs w:val="28"/>
          <w:lang w:val="it-IT"/>
        </w:rPr>
        <w:t>Vitale Simone</w:t>
      </w:r>
    </w:p>
    <w:p w14:paraId="50E3A429" w14:textId="77777777" w:rsidR="00A245B9" w:rsidRPr="00BA124F" w:rsidRDefault="00A245B9" w:rsidP="00A245B9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</w:p>
    <w:p w14:paraId="481DA4A4" w14:textId="44041205" w:rsidR="00326FFE" w:rsidRPr="00BA124F" w:rsidRDefault="00A245B9" w:rsidP="00A245B9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Il </w:t>
      </w:r>
      <w:r w:rsidR="00BA124F">
        <w:rPr>
          <w:rFonts w:ascii="Times New Roman" w:hAnsi="Times New Roman" w:cs="Times New Roman"/>
          <w:sz w:val="24"/>
          <w:szCs w:val="24"/>
          <w:lang w:val="it-IT"/>
        </w:rPr>
        <w:t>progetto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BA124F">
        <w:rPr>
          <w:rFonts w:ascii="Times New Roman" w:hAnsi="Times New Roman" w:cs="Times New Roman"/>
          <w:sz w:val="24"/>
          <w:szCs w:val="24"/>
          <w:lang w:val="it-IT"/>
        </w:rPr>
        <w:t xml:space="preserve">da noi sviluppato 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>si ispira al lavoro svolto da Black, Scholes e Merton</w:t>
      </w:r>
      <w:r w:rsidR="005520E6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negli anni ’70.</w:t>
      </w:r>
    </w:p>
    <w:p w14:paraId="7248A964" w14:textId="77777777" w:rsidR="00BA124F" w:rsidRDefault="005520E6" w:rsidP="00A245B9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A124F">
        <w:rPr>
          <w:rFonts w:ascii="Times New Roman" w:hAnsi="Times New Roman" w:cs="Times New Roman"/>
          <w:sz w:val="24"/>
          <w:szCs w:val="24"/>
          <w:lang w:val="it-IT"/>
        </w:rPr>
        <w:t>In particolare</w:t>
      </w:r>
      <w:r w:rsidR="00BA124F">
        <w:rPr>
          <w:rFonts w:ascii="Times New Roman" w:hAnsi="Times New Roman" w:cs="Times New Roman"/>
          <w:sz w:val="24"/>
          <w:szCs w:val="24"/>
          <w:lang w:val="it-IT"/>
        </w:rPr>
        <w:t xml:space="preserve">, l’obiettivo del nostro workshop è quello di 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>provare a ricostruire la struttura del capitale di una specifica società</w:t>
      </w:r>
      <w:r w:rsidR="00BA124F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utilizzando le informazioni rese note in bilancio e sfruttando il modello di </w:t>
      </w:r>
      <w:r w:rsidR="00BA124F">
        <w:rPr>
          <w:rFonts w:ascii="Times New Roman" w:hAnsi="Times New Roman" w:cs="Times New Roman"/>
          <w:sz w:val="24"/>
          <w:szCs w:val="24"/>
          <w:lang w:val="it-IT"/>
        </w:rPr>
        <w:t>B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lack </w:t>
      </w:r>
      <w:r w:rsidR="00BA124F">
        <w:rPr>
          <w:rFonts w:ascii="Times New Roman" w:hAnsi="Times New Roman" w:cs="Times New Roman"/>
          <w:sz w:val="24"/>
          <w:szCs w:val="24"/>
          <w:lang w:val="it-IT"/>
        </w:rPr>
        <w:t>&amp;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BA124F">
        <w:rPr>
          <w:rFonts w:ascii="Times New Roman" w:hAnsi="Times New Roman" w:cs="Times New Roman"/>
          <w:sz w:val="24"/>
          <w:szCs w:val="24"/>
          <w:lang w:val="it-IT"/>
        </w:rPr>
        <w:t>S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>choles per la costru</w:t>
      </w:r>
      <w:r w:rsidR="00FB466E" w:rsidRPr="00BA124F">
        <w:rPr>
          <w:rFonts w:ascii="Times New Roman" w:hAnsi="Times New Roman" w:cs="Times New Roman"/>
          <w:sz w:val="24"/>
          <w:szCs w:val="24"/>
          <w:lang w:val="it-IT"/>
        </w:rPr>
        <w:t>zione delle opzioni put e call</w:t>
      </w:r>
      <w:r w:rsidR="00BA124F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4420910" w14:textId="77C80237" w:rsidR="005520E6" w:rsidRDefault="00BA124F" w:rsidP="00A245B9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fine ultimo</w:t>
      </w:r>
      <w:r w:rsidR="00FB466E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è quello </w:t>
      </w:r>
      <w:r w:rsidR="00FB466E" w:rsidRPr="00BA124F">
        <w:rPr>
          <w:rFonts w:ascii="Times New Roman" w:hAnsi="Times New Roman" w:cs="Times New Roman"/>
          <w:sz w:val="24"/>
          <w:szCs w:val="24"/>
          <w:lang w:val="it-IT"/>
        </w:rPr>
        <w:t>di poter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FB466E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stabilire se sussiste una relazione di </w:t>
      </w:r>
      <w:r w:rsidRPr="00BA124F">
        <w:rPr>
          <w:rFonts w:ascii="Times New Roman" w:hAnsi="Times New Roman" w:cs="Times New Roman"/>
          <w:i/>
          <w:iCs/>
          <w:sz w:val="24"/>
          <w:szCs w:val="24"/>
          <w:lang w:val="it-IT"/>
        </w:rPr>
        <w:t>P</w:t>
      </w:r>
      <w:r w:rsidR="00FB466E" w:rsidRPr="00BA124F">
        <w:rPr>
          <w:rFonts w:ascii="Times New Roman" w:hAnsi="Times New Roman" w:cs="Times New Roman"/>
          <w:i/>
          <w:iCs/>
          <w:sz w:val="24"/>
          <w:szCs w:val="24"/>
          <w:lang w:val="it-IT"/>
        </w:rPr>
        <w:t>ut-</w:t>
      </w:r>
      <w:r w:rsidRPr="00BA124F">
        <w:rPr>
          <w:rFonts w:ascii="Times New Roman" w:hAnsi="Times New Roman" w:cs="Times New Roman"/>
          <w:i/>
          <w:iCs/>
          <w:sz w:val="24"/>
          <w:szCs w:val="24"/>
          <w:lang w:val="it-IT"/>
        </w:rPr>
        <w:t>C</w:t>
      </w:r>
      <w:r w:rsidR="00FB466E" w:rsidRPr="00BA124F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all </w:t>
      </w:r>
      <w:proofErr w:type="spellStart"/>
      <w:r w:rsidRPr="00BA124F">
        <w:rPr>
          <w:rFonts w:ascii="Times New Roman" w:hAnsi="Times New Roman" w:cs="Times New Roman"/>
          <w:i/>
          <w:iCs/>
          <w:sz w:val="24"/>
          <w:szCs w:val="24"/>
          <w:lang w:val="it-IT"/>
        </w:rPr>
        <w:t>P</w:t>
      </w:r>
      <w:r w:rsidR="00FB466E" w:rsidRPr="00BA124F">
        <w:rPr>
          <w:rFonts w:ascii="Times New Roman" w:hAnsi="Times New Roman" w:cs="Times New Roman"/>
          <w:i/>
          <w:iCs/>
          <w:sz w:val="24"/>
          <w:szCs w:val="24"/>
          <w:lang w:val="it-IT"/>
        </w:rPr>
        <w:t>arity</w:t>
      </w:r>
      <w:proofErr w:type="spellEnd"/>
      <w:r w:rsidR="00FB466E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t-IT"/>
        </w:rPr>
        <w:t>fornire</w:t>
      </w:r>
      <w:r w:rsidR="00FB466E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una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FB466E" w:rsidRPr="00BA124F">
        <w:rPr>
          <w:rFonts w:ascii="Times New Roman" w:hAnsi="Times New Roman" w:cs="Times New Roman"/>
          <w:sz w:val="24"/>
          <w:szCs w:val="24"/>
          <w:lang w:val="it-IT"/>
        </w:rPr>
        <w:t>valutazione sul valore dell’equity dell’impresa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analizzata</w:t>
      </w:r>
      <w:r w:rsidR="00FB466E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e fare alcune consideraz</w:t>
      </w:r>
      <w:r w:rsidR="000D5C39" w:rsidRPr="00BA124F">
        <w:rPr>
          <w:rFonts w:ascii="Times New Roman" w:hAnsi="Times New Roman" w:cs="Times New Roman"/>
          <w:sz w:val="24"/>
          <w:szCs w:val="24"/>
          <w:lang w:val="it-IT"/>
        </w:rPr>
        <w:t>ioni sul default risk specifico.</w:t>
      </w:r>
    </w:p>
    <w:p w14:paraId="64626A5A" w14:textId="3BA3A3AB" w:rsidR="00A76BCD" w:rsidRPr="00BA124F" w:rsidRDefault="00326FFE" w:rsidP="00A245B9">
      <w:pPr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hAnsi="Times New Roman" w:cs="Times New Roman"/>
          <w:sz w:val="24"/>
          <w:szCs w:val="24"/>
          <w:lang w:val="it-IT"/>
        </w:rPr>
        <w:t>Iniziamo dal definire una società che non distribuisce dividendi e che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per finanziarsi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emetta debito sotto forma d</w:t>
      </w:r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>i Z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>ero-</w:t>
      </w:r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 xml:space="preserve">oupon </w:t>
      </w:r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>B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>ond</w:t>
      </w:r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, oltre a 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 xml:space="preserve">fare </w:t>
      </w:r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ricorso all’equity. Immaginiamo 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>dunque</w:t>
      </w:r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che l’intero ammontare del debito 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 xml:space="preserve">definito </w:t>
      </w:r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abbia una sola </w:t>
      </w:r>
      <w:proofErr w:type="spellStart"/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>maturity</w:t>
      </w:r>
      <w:proofErr w:type="spellEnd"/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(t)</w:t>
      </w:r>
      <w:r w:rsidR="00AE578D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A76BCD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se il valore del debito alla scadenza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t</m:t>
            </m:r>
          </m:sub>
        </m:sSub>
      </m:oMath>
      <w:r w:rsidR="00A76BCD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sarà minore rispetto al valore del patrimonio della società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="00A76BCD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gli azionisti 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potranno essere</w:t>
      </w:r>
      <w:r w:rsidR="00A76BCD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in grado di pagare i </w:t>
      </w:r>
      <w:r w:rsidR="00AE578D" w:rsidRPr="00AE578D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b</w:t>
      </w:r>
      <w:r w:rsidR="00A76BCD" w:rsidRPr="00AE578D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ondholders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; i</w:t>
      </w:r>
      <w:r w:rsidR="00A76BCD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n caso contrario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="00A76BCD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la società fallirà e gli obbligazionisti diventeranno di fatto proprietari degli asset aziendali. </w:t>
      </w:r>
    </w:p>
    <w:p w14:paraId="2E96D9BC" w14:textId="343B5734" w:rsidR="00A76BCD" w:rsidRPr="00BA124F" w:rsidRDefault="00A76BCD" w:rsidP="00A245B9">
      <w:pPr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Possiamo quindi rappresentare la 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condizione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degli azionisti come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-K,0)</m:t>
        </m:r>
      </m:oMath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poiché 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essi 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otterranno il massimo beneficio dalla differenza tra il patrimonio alla scadenza e i debiti </w:t>
      </w:r>
      <w:r w:rsidR="0033532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oppure, se più conveniente, dichiareranno fallimento. Appare piuttosto evidente come la posizione degli azionisti sia di fatto una </w:t>
      </w:r>
      <w:r w:rsidR="0033532F" w:rsidRPr="00AE578D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call lunga</w:t>
      </w:r>
      <w:r w:rsidR="00AE578D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,</w:t>
      </w:r>
      <w:r w:rsidR="0033532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con 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uno </w:t>
      </w:r>
      <w:r w:rsidR="0033532F" w:rsidRPr="00AE578D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stock price</w:t>
      </w:r>
      <w:r w:rsidR="0033532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pari al valore degli asset patrimoniali e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lo</w:t>
      </w:r>
      <w:r w:rsidR="0033532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33532F" w:rsidRPr="00AE578D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strike price</w:t>
      </w:r>
      <w:r w:rsidR="0033532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uguale al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valore del</w:t>
      </w:r>
      <w:r w:rsidR="0033532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debito societario.</w:t>
      </w:r>
    </w:p>
    <w:p w14:paraId="6C2BCF5F" w14:textId="0A5ECBBC" w:rsidR="0033532F" w:rsidRPr="00BA124F" w:rsidRDefault="0033532F" w:rsidP="00A245B9">
      <w:pPr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Per quanto riguarda gli obbligazionisti, 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indichiamo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che essi otterranno una remunerazione pari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 xml:space="preserve">min </m:t>
        </m:r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,K)</m:t>
        </m:r>
      </m:oMath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cioè pari 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K-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(K-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,0)</m:t>
        </m:r>
      </m:oMath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14:paraId="67BF53B0" w14:textId="293FC1CE" w:rsidR="008429BF" w:rsidRPr="00BA124F" w:rsidRDefault="0033532F" w:rsidP="008429BF">
      <w:pPr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Riassumendo 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ciò fino ad ora considerato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, mentre il valore dell’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e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quity della società può essere rappresentato come una call</w:t>
      </w:r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-K,0)]</m:t>
        </m:r>
      </m:oMath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il valore dei debiti 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può essere ridefinito</w:t>
      </w:r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come la differenza tra questi e</w:t>
      </w:r>
      <w:r w:rsidR="00AE578D">
        <w:rPr>
          <w:rFonts w:ascii="Times New Roman" w:eastAsiaTheme="minorEastAsia" w:hAnsi="Times New Roman" w:cs="Times New Roman"/>
          <w:sz w:val="24"/>
          <w:szCs w:val="24"/>
          <w:lang w:val="it-IT"/>
        </w:rPr>
        <w:t>d</w:t>
      </w:r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una </w:t>
      </w:r>
      <w:r w:rsidR="008429BF" w:rsidRPr="00E445A4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put lunga</w:t>
      </w:r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con </w:t>
      </w:r>
      <w:r w:rsidR="00E445A4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uno </w:t>
      </w:r>
      <w:r w:rsidR="008429BF" w:rsidRPr="00E445A4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stock price</w:t>
      </w:r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pari al valore degli asset patrimoniali</w:t>
      </w:r>
      <w:r w:rsidR="00E445A4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e </w:t>
      </w:r>
      <w:r w:rsidR="00E445A4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lo </w:t>
      </w:r>
      <w:r w:rsidR="008429BF" w:rsidRPr="00E445A4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strike price</w:t>
      </w:r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uguale al debito societario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 xml:space="preserve"> [K-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IT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it-IT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IT"/>
                  </w:rPr>
                  <m:t>,0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]</m:t>
        </m:r>
      </m:oMath>
      <w:r w:rsidR="008429BF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14:paraId="68A53962" w14:textId="77777777" w:rsidR="00E445A4" w:rsidRDefault="00E445A4" w:rsidP="008429BF">
      <w:pPr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31FA8199" w14:textId="63B7632C" w:rsidR="00582156" w:rsidRPr="00BA124F" w:rsidRDefault="00E445A4" w:rsidP="00E445A4">
      <w:pPr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lastRenderedPageBreak/>
        <w:t>A</w:t>
      </w:r>
      <w:r w:rsidR="00582156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questo punto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="00582156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possiamo definire due distinte funzioni:</w:t>
      </w:r>
    </w:p>
    <w:p w14:paraId="30CFA03B" w14:textId="2E8092D1" w:rsidR="00582156" w:rsidRDefault="00381E8F" w:rsidP="00E445A4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La prima funzione</w:t>
      </w:r>
      <w:r w:rsidR="00582156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rappresenta</w:t>
      </w:r>
      <w:r w:rsidR="00582156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il rapporto patrimoniale societario</w:t>
      </w:r>
      <w:r w:rsidR="00E445A4">
        <w:rPr>
          <w:rFonts w:ascii="Times New Roman" w:eastAsiaTheme="minorEastAsia" w:hAnsi="Times New Roman" w:cs="Times New Roman"/>
          <w:sz w:val="24"/>
          <w:szCs w:val="24"/>
          <w:lang w:val="it-IT"/>
        </w:rPr>
        <w:t>:</w:t>
      </w:r>
    </w:p>
    <w:p w14:paraId="1677903F" w14:textId="77777777" w:rsidR="00E445A4" w:rsidRPr="00BA124F" w:rsidRDefault="00E445A4" w:rsidP="00E445A4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2C54614A" w14:textId="3ACED527" w:rsidR="00536C38" w:rsidRPr="00536C38" w:rsidRDefault="00520FCA" w:rsidP="00536C38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it-IT"/>
            </w:rPr>
            <m:t>Asset=Equity+Debiti</m:t>
          </m:r>
        </m:oMath>
      </m:oMathPara>
    </w:p>
    <w:p w14:paraId="20001196" w14:textId="4FD37F54" w:rsidR="00381E8F" w:rsidRDefault="00381E8F" w:rsidP="00381E8F">
      <w:pPr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La funzione indica la relazi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ne patrimoniale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che sussiste 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tra gli asset e le fonti di finanziamento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e può essere 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rappresentat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a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attraverso la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relazione della </w:t>
      </w:r>
      <w:r w:rsidRPr="00E445A4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 xml:space="preserve">Put-Call </w:t>
      </w:r>
      <w:proofErr w:type="spellStart"/>
      <w:r w:rsidRPr="00E445A4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Parity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14:paraId="5E646721" w14:textId="2BD415B5" w:rsidR="00536C38" w:rsidRPr="00536C38" w:rsidRDefault="00707DB9" w:rsidP="00E445A4">
      <w:pPr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t-I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t-I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it-IT"/>
            </w:rPr>
            <m:t>=c+PVK-p</m:t>
          </m:r>
        </m:oMath>
      </m:oMathPara>
    </w:p>
    <w:p w14:paraId="76564F5D" w14:textId="728EF789" w:rsidR="00E445A4" w:rsidRPr="00BA124F" w:rsidRDefault="00381E8F" w:rsidP="00536C38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Dove:</w:t>
      </w:r>
    </w:p>
    <w:p w14:paraId="682FA3E2" w14:textId="1A6BBCA0" w:rsidR="00E445A4" w:rsidRPr="00BA124F" w:rsidRDefault="00E445A4" w:rsidP="00536C38">
      <w:pPr>
        <w:rPr>
          <w:rFonts w:ascii="Times New Roman" w:hAnsi="Times New Roman" w:cs="Times New Roman"/>
          <w:sz w:val="24"/>
          <w:szCs w:val="24"/>
          <w:lang w:val="it-IT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c</m:t>
        </m:r>
      </m:oMath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valore dell’opzione </w:t>
      </w:r>
      <w:r w:rsidRPr="00E445A4">
        <w:rPr>
          <w:rFonts w:ascii="Times New Roman" w:hAnsi="Times New Roman" w:cs="Times New Roman"/>
          <w:i/>
          <w:iCs/>
          <w:sz w:val="24"/>
          <w:szCs w:val="24"/>
          <w:lang w:val="it-IT"/>
        </w:rPr>
        <w:t>call</w:t>
      </w:r>
      <w:r>
        <w:rPr>
          <w:rFonts w:ascii="Times New Roman" w:hAnsi="Times New Roman" w:cs="Times New Roman"/>
          <w:i/>
          <w:iCs/>
          <w:sz w:val="24"/>
          <w:szCs w:val="24"/>
          <w:lang w:val="it-IT"/>
        </w:rPr>
        <w:t>;</w:t>
      </w:r>
    </w:p>
    <w:p w14:paraId="088D20D6" w14:textId="40C681BB" w:rsidR="00BD0D53" w:rsidRPr="00BA124F" w:rsidRDefault="00BD0D53" w:rsidP="00536C38">
      <w:pPr>
        <w:rPr>
          <w:rFonts w:ascii="Times New Roman" w:hAnsi="Times New Roman" w:cs="Times New Roman"/>
          <w:sz w:val="24"/>
          <w:szCs w:val="24"/>
          <w:lang w:val="it-IT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p</m:t>
        </m:r>
      </m:oMath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>=</w:t>
      </w:r>
      <w:r w:rsidR="00E445A4">
        <w:rPr>
          <w:rFonts w:ascii="Times New Roman" w:hAnsi="Times New Roman" w:cs="Times New Roman"/>
          <w:sz w:val="24"/>
          <w:szCs w:val="24"/>
          <w:lang w:val="it-IT"/>
        </w:rPr>
        <w:t xml:space="preserve"> valore dell’opzione </w:t>
      </w:r>
      <w:r w:rsidRPr="00E445A4">
        <w:rPr>
          <w:rFonts w:ascii="Times New Roman" w:hAnsi="Times New Roman" w:cs="Times New Roman"/>
          <w:i/>
          <w:iCs/>
          <w:sz w:val="24"/>
          <w:szCs w:val="24"/>
          <w:lang w:val="it-IT"/>
        </w:rPr>
        <w:t>put</w:t>
      </w:r>
      <w:r w:rsidR="00E445A4">
        <w:rPr>
          <w:rFonts w:ascii="Times New Roman" w:hAnsi="Times New Roman" w:cs="Times New Roman"/>
          <w:i/>
          <w:iCs/>
          <w:sz w:val="24"/>
          <w:szCs w:val="24"/>
          <w:lang w:val="it-IT"/>
        </w:rPr>
        <w:t>;</w:t>
      </w:r>
    </w:p>
    <w:p w14:paraId="293165F8" w14:textId="61E53008" w:rsidR="00BD0D53" w:rsidRPr="00BA124F" w:rsidRDefault="00BD0D53" w:rsidP="00536C38">
      <w:pPr>
        <w:rPr>
          <w:rFonts w:ascii="Times New Roman" w:hAnsi="Times New Roman" w:cs="Times New Roman"/>
          <w:sz w:val="24"/>
          <w:szCs w:val="24"/>
          <w:lang w:val="it-IT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PVK</m:t>
        </m:r>
      </m:oMath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= valore attuale del debito</w:t>
      </w:r>
      <w:r w:rsidR="00E445A4"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6721A5B8" w14:textId="1C757A65" w:rsidR="00BD0D53" w:rsidRDefault="00707DB9" w:rsidP="00536C38">
      <w:pPr>
        <w:rPr>
          <w:rFonts w:ascii="Times New Roman" w:hAnsi="Times New Roman" w:cs="Times New Roman"/>
          <w:sz w:val="24"/>
          <w:szCs w:val="24"/>
          <w:lang w:val="it-IT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0</m:t>
            </m:r>
          </m:sub>
        </m:sSub>
      </m:oMath>
      <w:r w:rsidR="00BD0D53" w:rsidRPr="00BA124F">
        <w:rPr>
          <w:rFonts w:ascii="Times New Roman" w:hAnsi="Times New Roman" w:cs="Times New Roman"/>
          <w:sz w:val="24"/>
          <w:szCs w:val="24"/>
          <w:lang w:val="it-IT"/>
        </w:rPr>
        <w:t>= valore attuale del totale degli asset</w:t>
      </w:r>
      <w:r w:rsidR="00E445A4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4B798ADC" w14:textId="77777777" w:rsidR="00536C38" w:rsidRDefault="00536C38" w:rsidP="00BD0D53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0DF80C1" w14:textId="7FC88A96" w:rsidR="00BD0D53" w:rsidRPr="00BA124F" w:rsidRDefault="00BD0D53" w:rsidP="00BD0D53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Affinché la </w:t>
      </w:r>
      <w:r w:rsidR="00381E8F">
        <w:rPr>
          <w:rFonts w:ascii="Times New Roman" w:hAnsi="Times New Roman" w:cs="Times New Roman"/>
          <w:sz w:val="24"/>
          <w:szCs w:val="24"/>
          <w:lang w:val="it-IT"/>
        </w:rPr>
        <w:t>formula</w:t>
      </w:r>
      <w:r w:rsidR="00E445A4">
        <w:rPr>
          <w:rFonts w:ascii="Times New Roman" w:hAnsi="Times New Roman" w:cs="Times New Roman"/>
          <w:sz w:val="24"/>
          <w:szCs w:val="24"/>
          <w:lang w:val="it-IT"/>
        </w:rPr>
        <w:t xml:space="preserve"> della</w:t>
      </w:r>
      <w:r w:rsidR="00A843FE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 xml:space="preserve"> </w:t>
      </w:r>
      <w:r w:rsidR="00E445A4" w:rsidRPr="00A843FE">
        <w:rPr>
          <w:rFonts w:ascii="Times New Roman" w:eastAsiaTheme="minorEastAsia" w:hAnsi="Times New Roman" w:cs="Times New Roman"/>
          <w:sz w:val="24"/>
          <w:szCs w:val="24"/>
          <w:lang w:val="it-IT"/>
        </w:rPr>
        <w:t>Put-Call</w:t>
      </w:r>
      <w:r w:rsidR="00A843F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E445A4" w:rsidRPr="00A843FE">
        <w:rPr>
          <w:rFonts w:ascii="Times New Roman" w:eastAsiaTheme="minorEastAsia" w:hAnsi="Times New Roman" w:cs="Times New Roman"/>
          <w:sz w:val="24"/>
          <w:szCs w:val="24"/>
          <w:lang w:val="it-IT"/>
        </w:rPr>
        <w:t>Parity</w:t>
      </w:r>
      <w:proofErr w:type="spellEnd"/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445A4">
        <w:rPr>
          <w:rFonts w:ascii="Times New Roman" w:hAnsi="Times New Roman" w:cs="Times New Roman"/>
          <w:sz w:val="24"/>
          <w:szCs w:val="24"/>
          <w:lang w:val="it-IT"/>
        </w:rPr>
        <w:t>risulti essere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valida</w:t>
      </w:r>
      <w:r w:rsidR="00E445A4">
        <w:rPr>
          <w:rFonts w:ascii="Times New Roman" w:hAnsi="Times New Roman" w:cs="Times New Roman"/>
          <w:sz w:val="24"/>
          <w:szCs w:val="24"/>
          <w:lang w:val="it-IT"/>
        </w:rPr>
        <w:t xml:space="preserve">, è necessario che vengano 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>soddisfatte le seguenti condizioni:</w:t>
      </w:r>
    </w:p>
    <w:p w14:paraId="695B17B8" w14:textId="4108E5A4" w:rsidR="00BD0D53" w:rsidRDefault="00BD0D53" w:rsidP="00381E8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BA124F">
        <w:rPr>
          <w:rFonts w:ascii="Times New Roman" w:hAnsi="Times New Roman" w:cs="Times New Roman"/>
          <w:sz w:val="24"/>
          <w:szCs w:val="24"/>
          <w:lang w:val="it-IT"/>
        </w:rPr>
        <w:t>Le azioni sottostanti non pagano dividendi durante la vita delle opzioni europee;</w:t>
      </w:r>
    </w:p>
    <w:p w14:paraId="66A9E31B" w14:textId="58F62AC0" w:rsidR="00BD0D53" w:rsidRPr="00BA124F" w:rsidRDefault="00E445A4" w:rsidP="00381E8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Non c’è presenza</w:t>
      </w:r>
      <w:r w:rsidR="00BD0D53"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di costi di transazione</w:t>
      </w:r>
      <w:r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1E7A66EA" w14:textId="43DBD7E6" w:rsidR="00BD0D53" w:rsidRPr="00BA124F" w:rsidRDefault="00A843FE" w:rsidP="00381E8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Non c’è presenza di</w:t>
      </w:r>
      <w:r w:rsidR="00E445A4">
        <w:rPr>
          <w:rFonts w:ascii="Times New Roman" w:hAnsi="Times New Roman" w:cs="Times New Roman"/>
          <w:sz w:val="24"/>
          <w:szCs w:val="24"/>
          <w:lang w:val="it-IT"/>
        </w:rPr>
        <w:t xml:space="preserve"> tassazione.</w:t>
      </w:r>
    </w:p>
    <w:p w14:paraId="58CAEC42" w14:textId="77777777" w:rsidR="00BD0D53" w:rsidRPr="00BA124F" w:rsidRDefault="00BD0D53" w:rsidP="00381E8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È possibile effettuare </w:t>
      </w:r>
      <w:r w:rsidRPr="00A843FE">
        <w:rPr>
          <w:rFonts w:ascii="Times New Roman" w:hAnsi="Times New Roman" w:cs="Times New Roman"/>
          <w:sz w:val="24"/>
          <w:szCs w:val="24"/>
          <w:lang w:val="it-IT"/>
        </w:rPr>
        <w:t xml:space="preserve">lo </w:t>
      </w:r>
      <w:r w:rsidRPr="00A843FE">
        <w:rPr>
          <w:rFonts w:ascii="Times New Roman" w:hAnsi="Times New Roman" w:cs="Times New Roman"/>
          <w:i/>
          <w:iCs/>
          <w:sz w:val="24"/>
          <w:szCs w:val="24"/>
          <w:lang w:val="it-IT"/>
        </w:rPr>
        <w:t>short selling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; inoltre sono esclusi ulteriori </w:t>
      </w:r>
      <w:proofErr w:type="spellStart"/>
      <w:r w:rsidRPr="00A843FE">
        <w:rPr>
          <w:rFonts w:ascii="Times New Roman" w:hAnsi="Times New Roman" w:cs="Times New Roman"/>
          <w:i/>
          <w:iCs/>
          <w:sz w:val="24"/>
          <w:szCs w:val="24"/>
          <w:lang w:val="it-IT"/>
        </w:rPr>
        <w:t>borrowing</w:t>
      </w:r>
      <w:proofErr w:type="spellEnd"/>
      <w:r w:rsidRPr="00A843FE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</w:t>
      </w:r>
      <w:proofErr w:type="spellStart"/>
      <w:r w:rsidRPr="00A843FE">
        <w:rPr>
          <w:rFonts w:ascii="Times New Roman" w:hAnsi="Times New Roman" w:cs="Times New Roman"/>
          <w:i/>
          <w:iCs/>
          <w:sz w:val="24"/>
          <w:szCs w:val="24"/>
          <w:lang w:val="it-IT"/>
        </w:rPr>
        <w:t>charges</w:t>
      </w:r>
      <w:proofErr w:type="spellEnd"/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, il che significa che si assume che i debiti non aumentino fino alla </w:t>
      </w:r>
      <w:proofErr w:type="spellStart"/>
      <w:r w:rsidRPr="00BA124F">
        <w:rPr>
          <w:rFonts w:ascii="Times New Roman" w:hAnsi="Times New Roman" w:cs="Times New Roman"/>
          <w:sz w:val="24"/>
          <w:szCs w:val="24"/>
          <w:lang w:val="it-IT"/>
        </w:rPr>
        <w:t>maturity</w:t>
      </w:r>
      <w:proofErr w:type="spellEnd"/>
      <w:r w:rsidRPr="00BA124F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F9BA69E" w14:textId="51867856" w:rsidR="00520FCA" w:rsidRPr="00BA124F" w:rsidRDefault="00BD0D53" w:rsidP="00A843FE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hAnsi="Times New Roman" w:cs="Times New Roman"/>
          <w:sz w:val="24"/>
          <w:szCs w:val="24"/>
          <w:lang w:val="it-IT"/>
        </w:rPr>
        <w:t>Il rispetto di quest</w:t>
      </w:r>
      <w:r w:rsidR="00A843FE">
        <w:rPr>
          <w:rFonts w:ascii="Times New Roman" w:hAnsi="Times New Roman" w:cs="Times New Roman"/>
          <w:sz w:val="24"/>
          <w:szCs w:val="24"/>
          <w:lang w:val="it-IT"/>
        </w:rPr>
        <w:t xml:space="preserve">e condizioni 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fa sì che la </w:t>
      </w:r>
      <w:r w:rsidR="00A843FE">
        <w:rPr>
          <w:rFonts w:ascii="Times New Roman" w:hAnsi="Times New Roman" w:cs="Times New Roman"/>
          <w:sz w:val="24"/>
          <w:szCs w:val="24"/>
          <w:lang w:val="it-IT"/>
        </w:rPr>
        <w:t>relazione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43FE">
        <w:rPr>
          <w:rFonts w:ascii="Times New Roman" w:hAnsi="Times New Roman" w:cs="Times New Roman"/>
          <w:sz w:val="24"/>
          <w:szCs w:val="24"/>
          <w:lang w:val="it-IT"/>
        </w:rPr>
        <w:t>della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43FE">
        <w:rPr>
          <w:rFonts w:ascii="Times New Roman" w:hAnsi="Times New Roman" w:cs="Times New Roman"/>
          <w:sz w:val="24"/>
          <w:szCs w:val="24"/>
          <w:lang w:val="it-IT"/>
        </w:rPr>
        <w:t>P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>ut-</w:t>
      </w:r>
      <w:r w:rsidR="00A843FE">
        <w:rPr>
          <w:rFonts w:ascii="Times New Roman" w:hAnsi="Times New Roman" w:cs="Times New Roman"/>
          <w:sz w:val="24"/>
          <w:szCs w:val="24"/>
          <w:lang w:val="it-IT"/>
        </w:rPr>
        <w:t>C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all </w:t>
      </w:r>
      <w:proofErr w:type="spellStart"/>
      <w:r w:rsidR="00A843FE">
        <w:rPr>
          <w:rFonts w:ascii="Times New Roman" w:hAnsi="Times New Roman" w:cs="Times New Roman"/>
          <w:sz w:val="24"/>
          <w:szCs w:val="24"/>
          <w:lang w:val="it-IT"/>
        </w:rPr>
        <w:t>P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>arity</w:t>
      </w:r>
      <w:proofErr w:type="spellEnd"/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si verifichi in un mercato completo ed efficiente, facendo sì che </w:t>
      </w:r>
      <w:r w:rsidR="00A843FE">
        <w:rPr>
          <w:rFonts w:ascii="Times New Roman" w:hAnsi="Times New Roman" w:cs="Times New Roman"/>
          <w:sz w:val="24"/>
          <w:szCs w:val="24"/>
          <w:lang w:val="it-IT"/>
        </w:rPr>
        <w:t xml:space="preserve">essa possa 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>perdur</w:t>
      </w:r>
      <w:r w:rsidR="00A843FE">
        <w:rPr>
          <w:rFonts w:ascii="Times New Roman" w:hAnsi="Times New Roman" w:cs="Times New Roman"/>
          <w:sz w:val="24"/>
          <w:szCs w:val="24"/>
          <w:lang w:val="it-IT"/>
        </w:rPr>
        <w:t>are</w:t>
      </w:r>
      <w:r w:rsidRPr="00BA124F">
        <w:rPr>
          <w:rFonts w:ascii="Times New Roman" w:hAnsi="Times New Roman" w:cs="Times New Roman"/>
          <w:sz w:val="24"/>
          <w:szCs w:val="24"/>
          <w:lang w:val="it-IT"/>
        </w:rPr>
        <w:t xml:space="preserve"> nel tempo. </w:t>
      </w:r>
    </w:p>
    <w:p w14:paraId="4153FDD9" w14:textId="77777777" w:rsidR="00BD0D53" w:rsidRPr="00BA124F" w:rsidRDefault="00BD0D53" w:rsidP="00520FCA">
      <w:pPr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4E3E50D0" w14:textId="1C4DFF25" w:rsidR="00B451BD" w:rsidRPr="00BA124F" w:rsidRDefault="00520FCA" w:rsidP="00520FCA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La seconda equazione</w:t>
      </w:r>
      <w:r w:rsidR="00A843FE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invece</w:t>
      </w:r>
      <w:r w:rsidR="00A843FE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esprime il concetto d’</w:t>
      </w:r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arbitraggio</w:t>
      </w:r>
      <w:r w:rsidR="00381E8F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utilizzando i portafogli di mercato della</w:t>
      </w:r>
      <w:r w:rsidR="00381E8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formula della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381E8F">
        <w:rPr>
          <w:rFonts w:ascii="Times New Roman" w:eastAsiaTheme="minorEastAsia" w:hAnsi="Times New Roman" w:cs="Times New Roman"/>
          <w:sz w:val="24"/>
          <w:szCs w:val="24"/>
          <w:lang w:val="it-IT"/>
        </w:rPr>
        <w:t>P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ut-</w:t>
      </w:r>
      <w:r w:rsidR="00381E8F">
        <w:rPr>
          <w:rFonts w:ascii="Times New Roman" w:eastAsiaTheme="minorEastAsia" w:hAnsi="Times New Roman" w:cs="Times New Roman"/>
          <w:sz w:val="24"/>
          <w:szCs w:val="24"/>
          <w:lang w:val="it-IT"/>
        </w:rPr>
        <w:t>C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all </w:t>
      </w:r>
      <w:proofErr w:type="spellStart"/>
      <w:r w:rsidR="00381E8F">
        <w:rPr>
          <w:rFonts w:ascii="Times New Roman" w:eastAsiaTheme="minorEastAsia" w:hAnsi="Times New Roman" w:cs="Times New Roman"/>
          <w:sz w:val="24"/>
          <w:szCs w:val="24"/>
          <w:lang w:val="it-IT"/>
        </w:rPr>
        <w:t>P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arity</w:t>
      </w:r>
      <w:proofErr w:type="spellEnd"/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al fine di esprimere un parere sul valore dell’equity della nostra società ed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eventualmente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di iniziare a procedere con un modello di </w:t>
      </w:r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 xml:space="preserve">credit risk </w:t>
      </w:r>
      <w:proofErr w:type="spellStart"/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analysis</w:t>
      </w:r>
      <w:proofErr w:type="spellEnd"/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similare a quello proposto da Merton (1974).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br/>
      </w:r>
    </w:p>
    <w:p w14:paraId="47AF1361" w14:textId="2E0234B6" w:rsidR="0099100E" w:rsidRPr="00536C38" w:rsidRDefault="0099100E" w:rsidP="0099100E">
      <w:pPr>
        <w:pStyle w:val="Paragrafoelenc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it-IT"/>
            </w:rPr>
            <m:t>c+PVK=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t-I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t-I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it-IT"/>
            </w:rPr>
            <m:t>-p</m:t>
          </m:r>
        </m:oMath>
      </m:oMathPara>
    </w:p>
    <w:p w14:paraId="25ACF067" w14:textId="77777777" w:rsidR="00536C38" w:rsidRPr="00BA124F" w:rsidRDefault="00536C38" w:rsidP="0099100E">
      <w:pPr>
        <w:pStyle w:val="Paragrafoelenc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22874595" w14:textId="0F5ECFFE" w:rsidR="0099100E" w:rsidRPr="00BA124F" w:rsidRDefault="0099100E" w:rsidP="0099100E">
      <w:pPr>
        <w:pStyle w:val="Paragrafoelenc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Questa relazione, ove si verifichi, indica che non sussistono opportunità d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>’a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rbitraggio e che gli asset 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vengano 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prezzati al </w:t>
      </w:r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 xml:space="preserve">fair </w:t>
      </w:r>
      <w:proofErr w:type="spellStart"/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value</w:t>
      </w:r>
      <w:proofErr w:type="spellEnd"/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14:paraId="3A853AB3" w14:textId="77777777" w:rsidR="0099100E" w:rsidRPr="00BA124F" w:rsidRDefault="0099100E" w:rsidP="0099100E">
      <w:pPr>
        <w:pStyle w:val="Paragrafoelenc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2429A924" w14:textId="26B58D46" w:rsidR="0099100E" w:rsidRPr="00BA124F" w:rsidRDefault="0099100E" w:rsidP="0099100E">
      <w:pPr>
        <w:pStyle w:val="Paragrafoelenc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lastRenderedPageBreak/>
        <w:t>Al fine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di poter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testare la validità di quanto detto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fino ad ora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con l’ausilio 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del software </w:t>
      </w:r>
      <w:proofErr w:type="spellStart"/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Pycharm</w:t>
      </w:r>
      <w:proofErr w:type="spellEnd"/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e della cartella di lavoro </w:t>
      </w:r>
      <w:proofErr w:type="spellStart"/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Quant</w:t>
      </w:r>
      <w:r w:rsidR="00536C38"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Li</w:t>
      </w:r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b</w:t>
      </w:r>
      <w:proofErr w:type="spellEnd"/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disponibile su </w:t>
      </w:r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GitHub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>abbiamo proceduto a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ll’implementazione di questo modello su un caso studio reale. </w:t>
      </w:r>
    </w:p>
    <w:p w14:paraId="6D4A81D3" w14:textId="77777777" w:rsidR="0099100E" w:rsidRPr="00BA124F" w:rsidRDefault="0099100E" w:rsidP="0099100E">
      <w:pPr>
        <w:pStyle w:val="Paragrafoelenc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435D0478" w14:textId="7AFDA3E5" w:rsidR="002502CE" w:rsidRDefault="0099100E" w:rsidP="002502CE">
      <w:pPr>
        <w:pStyle w:val="Paragrafoelenc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Abbiamo infatti utilizzato i</w:t>
      </w:r>
      <w:r w:rsidR="00BD0D53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dati inerenti 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>all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 società </w:t>
      </w:r>
      <w:r w:rsidRPr="00536C38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The Walt Disney Company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, in particolare facendo riferimento al bilancio annuale (versione 10k) del 27 settembre 2019.</w:t>
      </w:r>
      <w:r w:rsidR="006D2621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BD0D53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In particolare va sottolineato come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="00BD0D53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in seguito ad un processo di analisi</w:t>
      </w:r>
      <w:r w:rsidR="00536C38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svolto in precedenza,</w:t>
      </w:r>
      <w:r w:rsidR="00BD0D53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abbiamo ritenuto appropriat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o attribuire</w:t>
      </w:r>
      <w:r w:rsidR="00BD0D53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alcuni particolari valori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alle essenziali chiavi di lettura del nostro modello</w:t>
      </w:r>
      <w:r w:rsidR="00BD0D53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:</w:t>
      </w:r>
    </w:p>
    <w:p w14:paraId="6F8574FC" w14:textId="6DE5DDDB" w:rsidR="002502CE" w:rsidRDefault="002502CE" w:rsidP="002502CE">
      <w:pPr>
        <w:pStyle w:val="Paragrafoelenc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2DE30764" w14:textId="77777777" w:rsidR="002502CE" w:rsidRDefault="002502CE" w:rsidP="002502CE">
      <w:pPr>
        <w:pStyle w:val="Paragrafoelenco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M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aturity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(n)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: 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5 anni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;</w:t>
      </w:r>
    </w:p>
    <w:p w14:paraId="47ECEFDB" w14:textId="77777777" w:rsidR="002502CE" w:rsidRDefault="002502CE" w:rsidP="002502CE">
      <w:pPr>
        <w:pStyle w:val="Paragrafoelenco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Tas</w:t>
      </w:r>
      <w:r w:rsidR="00BD0D53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so di sconto dei debiti: </w:t>
      </w:r>
      <w:r w:rsidR="0019718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(</w:t>
      </w:r>
      <w:proofErr w:type="spellStart"/>
      <w:r w:rsidR="0019718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Kd</w:t>
      </w:r>
      <w:proofErr w:type="spellEnd"/>
      <w:r w:rsidR="0019718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)</w:t>
      </w:r>
      <w:r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BD0D53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after tax cost of </w:t>
      </w:r>
      <w:proofErr w:type="spellStart"/>
      <w:r w:rsidR="00BD0D53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debt</w:t>
      </w:r>
      <w:proofErr w:type="spellEnd"/>
      <w:r w:rsidR="00BD0D53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pari a </w:t>
      </w:r>
      <w:r w:rsidR="006D2621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1.23%</w:t>
      </w:r>
      <w:r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;</w:t>
      </w:r>
    </w:p>
    <w:p w14:paraId="0697EADC" w14:textId="77777777" w:rsidR="002502CE" w:rsidRDefault="002502CE" w:rsidP="002502CE">
      <w:pPr>
        <w:pStyle w:val="Paragrafoelenco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T</w:t>
      </w:r>
      <w:r w:rsidR="006D2621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asso di crescita del patrimonio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(g),</w:t>
      </w:r>
      <w:r w:rsidR="006D2621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stimato in 5 anni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, pari a</w:t>
      </w:r>
      <w:r w:rsidR="006D2621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6%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;</w:t>
      </w:r>
    </w:p>
    <w:p w14:paraId="192183BF" w14:textId="317B3874" w:rsidR="002502CE" w:rsidRDefault="002502CE" w:rsidP="002502CE">
      <w:pPr>
        <w:pStyle w:val="Paragrafoelenco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</w:t>
      </w:r>
      <w:r w:rsidR="006D2621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alore degli asset alla </w:t>
      </w:r>
      <w:proofErr w:type="spellStart"/>
      <w:r w:rsidR="006D2621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maturity</w:t>
      </w:r>
      <w:proofErr w:type="spellEnd"/>
      <w:r w:rsidR="006D2621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IT"/>
                  </w:rPr>
                  <m:t>1+g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 </w:t>
      </w:r>
      <w:r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3C6265" w:rsidRPr="002502CE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stock price</w:t>
      </w:r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(</w:t>
      </w:r>
      <w:r w:rsidR="003C6265" w:rsidRPr="002502CE">
        <w:rPr>
          <w:rFonts w:ascii="Times New Roman" w:eastAsiaTheme="minorEastAsia" w:hAnsi="Times New Roman" w:cs="Times New Roman"/>
          <w:i/>
          <w:sz w:val="24"/>
          <w:szCs w:val="24"/>
          <w:lang w:val="it-IT"/>
        </w:rPr>
        <w:t>u</w:t>
      </w:r>
      <w:r>
        <w:rPr>
          <w:rFonts w:ascii="Times New Roman" w:eastAsiaTheme="minorEastAsia" w:hAnsi="Times New Roman" w:cs="Times New Roman"/>
          <w:i/>
          <w:sz w:val="24"/>
          <w:szCs w:val="24"/>
          <w:lang w:val="it-IT"/>
        </w:rPr>
        <w:t>)</w:t>
      </w:r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su</w:t>
      </w:r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C6265" w:rsidRPr="002502CE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Pycharm</w:t>
      </w:r>
      <w:proofErr w:type="spellEnd"/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14:paraId="2F224B4A" w14:textId="5B73981E" w:rsidR="006D2621" w:rsidRDefault="002502CE" w:rsidP="002502CE">
      <w:pPr>
        <w:pStyle w:val="Paragrafoelenco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</w:t>
      </w:r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alore del debito alla </w:t>
      </w:r>
      <w:proofErr w:type="spellStart"/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maturity</w:t>
      </w:r>
      <w:proofErr w:type="spellEnd"/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t-IT"/>
          </w:rPr>
          <m:t>K*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t-I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IT"/>
                  </w:rPr>
                  <m:t>1+Kd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it-IT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3C6265" w:rsidRPr="002502CE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strike price</w:t>
      </w:r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su</w:t>
      </w:r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C6265" w:rsidRP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Pycharm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14:paraId="0C67EB6A" w14:textId="77777777" w:rsidR="002502CE" w:rsidRPr="002502CE" w:rsidRDefault="002502CE" w:rsidP="002502CE">
      <w:pPr>
        <w:pStyle w:val="Paragrafoelenc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51AF0F94" w14:textId="081A8694" w:rsidR="00197185" w:rsidRDefault="00197185" w:rsidP="002502CE">
      <w:pPr>
        <w:pStyle w:val="Paragrafoelenco"/>
        <w:spacing w:line="276" w:lineRule="aut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Una volta ottenuti questi 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valori,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li abbiamo elaborati 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attraverso l’utilizzo del linguaggio Python 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e abbiamo sviluppato uno scrip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t 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che ci ha permesso di calcolare il prezzo delle call e delle put relative all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’impostazione teorica precedentemente </w:t>
      </w:r>
      <w:r w:rsidR="006E4397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esposta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</w:p>
    <w:p w14:paraId="7CA9A2B8" w14:textId="60E8A1B1" w:rsidR="00707DB9" w:rsidRDefault="00707DB9" w:rsidP="002502CE">
      <w:pPr>
        <w:pStyle w:val="Paragrafoelenco"/>
        <w:spacing w:line="276" w:lineRule="aut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0E0BC230" wp14:editId="74256D39">
            <wp:extent cx="2547891" cy="1876425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90" t="18814" r="35737" b="23032"/>
                    <a:stretch/>
                  </pic:blipFill>
                  <pic:spPr bwMode="auto">
                    <a:xfrm>
                      <a:off x="0" y="0"/>
                      <a:ext cx="2553395" cy="188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7D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2EBBE1" wp14:editId="2BEA91D0">
            <wp:extent cx="2555264" cy="1905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58" t="22806" r="44872" b="17901"/>
                    <a:stretch/>
                  </pic:blipFill>
                  <pic:spPr bwMode="auto">
                    <a:xfrm>
                      <a:off x="0" y="0"/>
                      <a:ext cx="2562191" cy="191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78298" w14:textId="77777777" w:rsidR="002502CE" w:rsidRPr="00BA124F" w:rsidRDefault="002502CE" w:rsidP="002502CE">
      <w:pPr>
        <w:pStyle w:val="Paragrafoelenco"/>
        <w:spacing w:line="276" w:lineRule="aut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43F5755C" w14:textId="22FDD053" w:rsidR="00197185" w:rsidRDefault="00197185" w:rsidP="002502CE">
      <w:pPr>
        <w:pStyle w:val="Paragrafoelenco"/>
        <w:spacing w:line="276" w:lineRule="aut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Il passo successivo è stato quello di inserire i prezzi nella formula della 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P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ut-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C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all </w:t>
      </w:r>
      <w:proofErr w:type="spellStart"/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P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arity</w:t>
      </w:r>
      <w:proofErr w:type="spellEnd"/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per verificare la validità della teoria, la struttura patrimoniale e la presenza di arbitraggi con conseguente raccomandazione </w:t>
      </w:r>
      <w:r w:rsidR="004925BC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di tipo </w:t>
      </w:r>
      <w:proofErr w:type="spellStart"/>
      <w:r w:rsidR="004925BC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buy</w:t>
      </w:r>
      <w:proofErr w:type="spellEnd"/>
      <w:r w:rsidR="004925BC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/sell.</w:t>
      </w:r>
    </w:p>
    <w:p w14:paraId="7E2DB37A" w14:textId="77777777" w:rsidR="002502CE" w:rsidRDefault="002502CE" w:rsidP="002502CE">
      <w:pPr>
        <w:pStyle w:val="Paragrafoelenco"/>
        <w:spacing w:line="276" w:lineRule="aut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2B05E92A" w14:textId="5406C699" w:rsidR="002502CE" w:rsidRDefault="002502CE" w:rsidP="002502CE">
      <w:pPr>
        <w:pStyle w:val="Paragrafoelenco"/>
        <w:spacing w:line="276" w:lineRule="aut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Le principali considerazioni sul workshop sono le seguenti:</w:t>
      </w:r>
    </w:p>
    <w:p w14:paraId="56A55567" w14:textId="77777777" w:rsidR="002502CE" w:rsidRPr="00BA124F" w:rsidRDefault="002502CE" w:rsidP="002502CE">
      <w:pPr>
        <w:pStyle w:val="Paragrafoelenco"/>
        <w:spacing w:line="276" w:lineRule="aut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3AA42709" w14:textId="5316138C" w:rsidR="004925BC" w:rsidRDefault="004925BC" w:rsidP="002502CE">
      <w:pPr>
        <w:pStyle w:val="Paragrafoelenco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In merito al primo punto possiamo 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sottolineare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come empiricamente, almeno in merito alla nostra specifica analisi, non esistano evidenze a supporto della tesi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m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ertoniana</w:t>
      </w:r>
      <w:proofErr w:type="spellEnd"/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14:paraId="10F8C97D" w14:textId="77777777" w:rsidR="002502CE" w:rsidRPr="00BA124F" w:rsidRDefault="002502CE" w:rsidP="002502CE">
      <w:pPr>
        <w:pStyle w:val="Paragrafoelenco"/>
        <w:spacing w:line="276" w:lineRule="auto"/>
        <w:ind w:left="114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467A4B3A" w14:textId="750F6367" w:rsidR="004925BC" w:rsidRDefault="004925BC" w:rsidP="002502CE">
      <w:pPr>
        <w:pStyle w:val="Paragrafoelenco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lastRenderedPageBreak/>
        <w:t>Per quanto riguarda la struttura patrimoniale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emerge come</w:t>
      </w:r>
      <w:r w:rsidR="006E4397" w:rsidRPr="00BA124F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vi sia una differenza positiva tra gli asset e i debiti societari</w:t>
      </w:r>
      <w:r w:rsidR="002502CE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14:paraId="6A655CBA" w14:textId="77777777" w:rsidR="002502CE" w:rsidRPr="00BA124F" w:rsidRDefault="002502CE" w:rsidP="00A1029D">
      <w:pPr>
        <w:pStyle w:val="Paragrafoelenco"/>
        <w:spacing w:line="276" w:lineRule="auto"/>
        <w:ind w:left="114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4D6551CE" w14:textId="77777777" w:rsidR="00A1029D" w:rsidRDefault="00A1029D" w:rsidP="002502CE">
      <w:pPr>
        <w:pStyle w:val="Paragrafoelenco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Abbiamo inoltre</w:t>
      </w:r>
      <w:r w:rsidR="006E4397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riscontrato come vi sia un sovrapprezzo a favore del portafogli contenente la call </w:t>
      </w:r>
      <w:r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d</w:t>
      </w:r>
      <w:r w:rsidR="006E4397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ei debiti. Poiché la call rappresenta l’equity della società e tale situazione di arbitraggio indicherebbe un suggerimento alla vendita della call</w:t>
      </w:r>
      <w:r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stessa</w:t>
      </w:r>
      <w:r w:rsidR="006E4397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, seguendo la nostra teoria</w:t>
      </w:r>
      <w:r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,</w:t>
      </w:r>
      <w:r w:rsidR="006E4397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il suggerimento sarebbe quello di vendere l’equity della società poiché in sovraprezzo.</w:t>
      </w:r>
    </w:p>
    <w:p w14:paraId="43003616" w14:textId="77777777" w:rsidR="00A1029D" w:rsidRPr="00A1029D" w:rsidRDefault="00A1029D" w:rsidP="00A1029D">
      <w:pPr>
        <w:pStyle w:val="Paragrafoelenc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1F28F7C6" w14:textId="4832F47E" w:rsidR="00A1029D" w:rsidRDefault="00A1029D" w:rsidP="00A1029D">
      <w:pPr>
        <w:pStyle w:val="Paragrafoelenco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Abbiamo inoltre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impostato un semplice ciclo </w:t>
      </w:r>
      <w:proofErr w:type="spellStart"/>
      <w:r w:rsidR="00A47274" w:rsidRPr="00A1029D">
        <w:rPr>
          <w:rFonts w:ascii="Times New Roman" w:eastAsiaTheme="minorEastAsia" w:hAnsi="Times New Roman" w:cs="Times New Roman"/>
          <w:i/>
          <w:sz w:val="24"/>
          <w:szCs w:val="24"/>
          <w:lang w:val="it-IT"/>
        </w:rPr>
        <w:t>if</w:t>
      </w:r>
      <w:proofErr w:type="spellEnd"/>
      <w:r w:rsidR="00A47274" w:rsidRPr="00A1029D">
        <w:rPr>
          <w:rFonts w:ascii="Times New Roman" w:eastAsiaTheme="minorEastAsia" w:hAnsi="Times New Roman" w:cs="Times New Roman"/>
          <w:i/>
          <w:sz w:val="24"/>
          <w:szCs w:val="24"/>
          <w:lang w:val="it-IT"/>
        </w:rPr>
        <w:t xml:space="preserve"> 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in grado 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di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consentirci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di definire se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vi fossero condizioni d’arbitraggio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, se il valore del port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a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fogli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A fosse </w:t>
      </w:r>
      <w:proofErr w:type="spellStart"/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sovraprezzato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e se fosse il caso di definire una strategia del tipo </w:t>
      </w:r>
      <w:proofErr w:type="spellStart"/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buy</w:t>
      </w:r>
      <w:proofErr w:type="spellEnd"/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o sell.</w:t>
      </w:r>
    </w:p>
    <w:p w14:paraId="01B6281F" w14:textId="77777777" w:rsidR="00A1029D" w:rsidRPr="00A1029D" w:rsidRDefault="00A1029D" w:rsidP="00A1029D">
      <w:pPr>
        <w:pStyle w:val="Paragrafoelenc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14:paraId="720BFF0C" w14:textId="1A6354D4" w:rsidR="006C787C" w:rsidRPr="00A1029D" w:rsidRDefault="00A1029D" w:rsidP="00A1029D">
      <w:pPr>
        <w:pStyle w:val="Paragrafoelenco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L’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ultimo sviluppo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preso in considerazione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è stato quello di voler stimare il prezzo delle put e </w:t>
      </w:r>
      <w:r w:rsidR="00707DB9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delle 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call attraverso ulteriori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modelli di </w:t>
      </w:r>
      <w:r w:rsidRPr="00A1029D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p</w:t>
      </w:r>
      <w:r w:rsidR="00A47274" w:rsidRPr="00A1029D">
        <w:rPr>
          <w:rFonts w:ascii="Times New Roman" w:eastAsiaTheme="minorEastAsia" w:hAnsi="Times New Roman" w:cs="Times New Roman"/>
          <w:i/>
          <w:iCs/>
          <w:sz w:val="24"/>
          <w:szCs w:val="24"/>
          <w:lang w:val="it-IT"/>
        </w:rPr>
        <w:t>ricing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, in particolare l’</w:t>
      </w:r>
      <w:proofErr w:type="spellStart"/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Herton</w:t>
      </w:r>
      <w:proofErr w:type="spellEnd"/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</w:t>
      </w:r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>rocess</w:t>
      </w:r>
      <w:proofErr w:type="spellEnd"/>
      <w:r w:rsidR="00A47274" w:rsidRPr="00A1029D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e il metodo Monte Carlo.</w:t>
      </w:r>
    </w:p>
    <w:p w14:paraId="51446692" w14:textId="4A4CE70C" w:rsidR="00A47274" w:rsidRPr="00BA124F" w:rsidRDefault="00C8251B" w:rsidP="002502CE">
      <w:pPr>
        <w:spacing w:line="276" w:lineRule="auto"/>
        <w:ind w:left="780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C8251B">
        <w:rPr>
          <w:noProof/>
        </w:rPr>
        <w:t xml:space="preserve"> </w:t>
      </w:r>
    </w:p>
    <w:sectPr w:rsidR="00A47274" w:rsidRPr="00BA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207C8"/>
    <w:multiLevelType w:val="hybridMultilevel"/>
    <w:tmpl w:val="71ECE1B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97120E0"/>
    <w:multiLevelType w:val="hybridMultilevel"/>
    <w:tmpl w:val="EC72957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7B1399"/>
    <w:multiLevelType w:val="hybridMultilevel"/>
    <w:tmpl w:val="1A883710"/>
    <w:lvl w:ilvl="0" w:tplc="E8326D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E51E1"/>
    <w:multiLevelType w:val="hybridMultilevel"/>
    <w:tmpl w:val="1FB00E1A"/>
    <w:lvl w:ilvl="0" w:tplc="ACCC8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B9"/>
    <w:rsid w:val="000D5C39"/>
    <w:rsid w:val="00147B9F"/>
    <w:rsid w:val="00151FF4"/>
    <w:rsid w:val="00197185"/>
    <w:rsid w:val="002502CE"/>
    <w:rsid w:val="00326FFE"/>
    <w:rsid w:val="0033532F"/>
    <w:rsid w:val="00381E8F"/>
    <w:rsid w:val="003C29E1"/>
    <w:rsid w:val="003C6265"/>
    <w:rsid w:val="004925BC"/>
    <w:rsid w:val="00520FCA"/>
    <w:rsid w:val="00536C38"/>
    <w:rsid w:val="005520E6"/>
    <w:rsid w:val="00582156"/>
    <w:rsid w:val="006C787C"/>
    <w:rsid w:val="006D2621"/>
    <w:rsid w:val="006E4397"/>
    <w:rsid w:val="00707DB9"/>
    <w:rsid w:val="008429BF"/>
    <w:rsid w:val="0099100E"/>
    <w:rsid w:val="00A1029D"/>
    <w:rsid w:val="00A245B9"/>
    <w:rsid w:val="00A47274"/>
    <w:rsid w:val="00A76BCD"/>
    <w:rsid w:val="00A843FE"/>
    <w:rsid w:val="00AE578D"/>
    <w:rsid w:val="00B451BD"/>
    <w:rsid w:val="00BA124F"/>
    <w:rsid w:val="00BD0D53"/>
    <w:rsid w:val="00C8251B"/>
    <w:rsid w:val="00E445A4"/>
    <w:rsid w:val="00F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B1EE"/>
  <w15:chartTrackingRefBased/>
  <w15:docId w15:val="{28EBFA89-A3C4-4C01-9D4A-DF7494A8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C3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76BCD"/>
    <w:rPr>
      <w:color w:val="808080"/>
    </w:rPr>
  </w:style>
  <w:style w:type="character" w:customStyle="1" w:styleId="e24kjd">
    <w:name w:val="e24kjd"/>
    <w:basedOn w:val="Carpredefinitoparagrafo"/>
    <w:rsid w:val="00AE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.chrno</cp:lastModifiedBy>
  <cp:revision>8</cp:revision>
  <dcterms:created xsi:type="dcterms:W3CDTF">2020-05-28T20:10:00Z</dcterms:created>
  <dcterms:modified xsi:type="dcterms:W3CDTF">2020-05-29T07:45:00Z</dcterms:modified>
</cp:coreProperties>
</file>