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FAA37" w14:textId="35631D2D" w:rsidR="00B82526" w:rsidRDefault="00A87967" w:rsidP="00A87967">
      <w:pPr>
        <w:spacing w:before="2000" w:after="240"/>
        <w:jc w:val="center"/>
      </w:pPr>
      <w:r>
        <w:rPr>
          <w:noProof/>
        </w:rPr>
        <w:drawing>
          <wp:inline distT="0" distB="0" distL="0" distR="0" wp14:anchorId="366322E9" wp14:editId="44C1489A">
            <wp:extent cx="2209800" cy="1052960"/>
            <wp:effectExtent l="0" t="0" r="0" b="0"/>
            <wp:docPr id="1789883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883240" name="Picture 1789883240"/>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30590" cy="1062866"/>
                    </a:xfrm>
                    <a:prstGeom prst="rect">
                      <a:avLst/>
                    </a:prstGeom>
                  </pic:spPr>
                </pic:pic>
              </a:graphicData>
            </a:graphic>
          </wp:inline>
        </w:drawing>
      </w:r>
    </w:p>
    <w:p w14:paraId="55C1E2CF" w14:textId="281696C9" w:rsidR="00B82526" w:rsidRDefault="00000000">
      <w:pPr>
        <w:spacing w:after="400"/>
        <w:jc w:val="center"/>
      </w:pPr>
      <w:r>
        <w:rPr>
          <w:b/>
          <w:bCs/>
          <w:sz w:val="40"/>
          <w:szCs w:val="40"/>
        </w:rPr>
        <w:t>Dozer Predictive Maintenance:</w:t>
      </w:r>
    </w:p>
    <w:p w14:paraId="0A270F72" w14:textId="77777777" w:rsidR="00B82526" w:rsidRDefault="00000000">
      <w:pPr>
        <w:spacing w:after="800"/>
        <w:jc w:val="center"/>
      </w:pPr>
      <w:r>
        <w:rPr>
          <w:b/>
          <w:bCs/>
          <w:sz w:val="32"/>
          <w:szCs w:val="32"/>
        </w:rPr>
        <w:t>Fleet Telemetry Early Warning Failure Prediction System</w:t>
      </w:r>
    </w:p>
    <w:p w14:paraId="17883FA4" w14:textId="77777777" w:rsidR="00B82526" w:rsidRPr="00F222F3" w:rsidRDefault="00000000">
      <w:pPr>
        <w:spacing w:after="200"/>
        <w:jc w:val="center"/>
      </w:pPr>
      <w:r w:rsidRPr="00F222F3">
        <w:rPr>
          <w:b/>
          <w:bCs/>
          <w:sz w:val="26"/>
          <w:szCs w:val="26"/>
        </w:rPr>
        <w:t>Author:</w:t>
      </w:r>
      <w:r w:rsidRPr="00F222F3">
        <w:rPr>
          <w:sz w:val="26"/>
          <w:szCs w:val="26"/>
        </w:rPr>
        <w:t xml:space="preserve"> Given Manyike</w:t>
      </w:r>
    </w:p>
    <w:p w14:paraId="60FE2508" w14:textId="77777777" w:rsidR="00B82526" w:rsidRPr="00F222F3" w:rsidRDefault="00000000">
      <w:pPr>
        <w:spacing w:after="200"/>
        <w:jc w:val="center"/>
      </w:pPr>
      <w:r w:rsidRPr="00F222F3">
        <w:rPr>
          <w:b/>
          <w:bCs/>
          <w:sz w:val="26"/>
          <w:szCs w:val="26"/>
        </w:rPr>
        <w:t>Target Fleet:</w:t>
      </w:r>
      <w:r w:rsidRPr="00F222F3">
        <w:rPr>
          <w:sz w:val="26"/>
          <w:szCs w:val="26"/>
        </w:rPr>
        <w:t xml:space="preserve"> Open-Cast Mining Dozers (DZ-104, DZ-118, DZ-127, DZ-142)</w:t>
      </w:r>
    </w:p>
    <w:p w14:paraId="06173D34" w14:textId="77777777" w:rsidR="00A87967" w:rsidRPr="00F222F3" w:rsidRDefault="00000000">
      <w:pPr>
        <w:spacing w:after="200"/>
        <w:jc w:val="center"/>
        <w:rPr>
          <w:sz w:val="26"/>
          <w:szCs w:val="26"/>
        </w:rPr>
        <w:sectPr w:rsidR="00A87967" w:rsidRPr="00F222F3">
          <w:headerReference w:type="default" r:id="rId8"/>
          <w:footerReference w:type="default" r:id="rId9"/>
          <w:pgSz w:w="12240" w:h="15840"/>
          <w:pgMar w:top="1440" w:right="1440" w:bottom="1440" w:left="1440" w:header="708" w:footer="708" w:gutter="0"/>
          <w:pgNumType w:start="1"/>
          <w:cols w:space="720"/>
        </w:sectPr>
      </w:pPr>
      <w:r w:rsidRPr="00F222F3">
        <w:rPr>
          <w:sz w:val="26"/>
          <w:szCs w:val="26"/>
        </w:rPr>
        <w:t>Date: August 2026</w:t>
      </w:r>
    </w:p>
    <w:p w14:paraId="4090004A" w14:textId="77777777" w:rsidR="00B82526" w:rsidRPr="00A87967" w:rsidRDefault="00000000">
      <w:pPr>
        <w:pStyle w:val="Heading1"/>
        <w:spacing w:before="0" w:after="300"/>
        <w:rPr>
          <w:u w:val="single"/>
        </w:rPr>
      </w:pPr>
      <w:r w:rsidRPr="00A87967">
        <w:rPr>
          <w:u w:val="single"/>
        </w:rPr>
        <w:lastRenderedPageBreak/>
        <w:t>Table of Contents</w:t>
      </w:r>
    </w:p>
    <w:sdt>
      <w:sdtPr>
        <w:id w:val="87806675"/>
        <w:docPartObj>
          <w:docPartGallery w:val="Table of Contents"/>
          <w:docPartUnique/>
        </w:docPartObj>
      </w:sdtPr>
      <w:sdtContent>
        <w:p w14:paraId="6F67E87A" w14:textId="77777777" w:rsidR="00B82526" w:rsidRDefault="00B82526">
          <w:pPr>
            <w:widowControl w:val="0"/>
            <w:tabs>
              <w:tab w:val="right" w:pos="12000"/>
            </w:tabs>
            <w:spacing w:before="60"/>
            <w:rPr>
              <w:b/>
              <w:bCs/>
              <w:color w:val="000000"/>
              <w:sz w:val="22"/>
              <w:szCs w:val="22"/>
            </w:rPr>
          </w:pPr>
          <w:r>
            <w:fldChar w:fldCharType="begin"/>
          </w:r>
          <w:r w:rsidR="00000000">
            <w:instrText xml:space="preserve"> TOC \h \u \z \t "Heading 1,1,Heading 2,2,"</w:instrText>
          </w:r>
          <w:r>
            <w:fldChar w:fldCharType="separate"/>
          </w:r>
          <w:hyperlink>
            <w:r>
              <w:rPr>
                <w:b/>
                <w:bCs/>
                <w:color w:val="000000"/>
                <w:sz w:val="22"/>
                <w:szCs w:val="22"/>
              </w:rPr>
              <w:t>Table of Contents</w:t>
            </w:r>
            <w:r>
              <w:rPr>
                <w:b/>
                <w:bCs/>
                <w:color w:val="000000"/>
                <w:sz w:val="22"/>
                <w:szCs w:val="22"/>
              </w:rPr>
              <w:tab/>
              <w:t>2</w:t>
            </w:r>
          </w:hyperlink>
        </w:p>
        <w:p w14:paraId="004E891C" w14:textId="77777777" w:rsidR="00B82526" w:rsidRDefault="00B82526">
          <w:pPr>
            <w:widowControl w:val="0"/>
            <w:tabs>
              <w:tab w:val="right" w:pos="12000"/>
            </w:tabs>
            <w:spacing w:before="60"/>
            <w:rPr>
              <w:b/>
              <w:bCs/>
              <w:color w:val="000000"/>
              <w:sz w:val="22"/>
              <w:szCs w:val="22"/>
            </w:rPr>
          </w:pPr>
          <w:hyperlink>
            <w:r>
              <w:rPr>
                <w:b/>
                <w:bCs/>
                <w:color w:val="000000"/>
                <w:sz w:val="22"/>
                <w:szCs w:val="22"/>
              </w:rPr>
              <w:t>List of Abbreviations</w:t>
            </w:r>
            <w:r>
              <w:rPr>
                <w:b/>
                <w:bCs/>
                <w:color w:val="000000"/>
                <w:sz w:val="22"/>
                <w:szCs w:val="22"/>
              </w:rPr>
              <w:tab/>
              <w:t>3</w:t>
            </w:r>
          </w:hyperlink>
        </w:p>
        <w:p w14:paraId="5FEEA327" w14:textId="77777777" w:rsidR="00B82526" w:rsidRDefault="00B82526">
          <w:pPr>
            <w:widowControl w:val="0"/>
            <w:tabs>
              <w:tab w:val="right" w:pos="12000"/>
            </w:tabs>
            <w:spacing w:before="60"/>
            <w:rPr>
              <w:b/>
              <w:bCs/>
              <w:color w:val="000000"/>
              <w:sz w:val="22"/>
              <w:szCs w:val="22"/>
            </w:rPr>
          </w:pPr>
          <w:hyperlink>
            <w:r>
              <w:rPr>
                <w:b/>
                <w:bCs/>
                <w:color w:val="000000"/>
                <w:sz w:val="22"/>
                <w:szCs w:val="22"/>
              </w:rPr>
              <w:t>1.  Introduction and Problem Context</w:t>
            </w:r>
            <w:r>
              <w:rPr>
                <w:b/>
                <w:bCs/>
                <w:color w:val="000000"/>
                <w:sz w:val="22"/>
                <w:szCs w:val="22"/>
              </w:rPr>
              <w:tab/>
              <w:t>4</w:t>
            </w:r>
          </w:hyperlink>
        </w:p>
        <w:p w14:paraId="60F600E9" w14:textId="77777777" w:rsidR="00B82526" w:rsidRDefault="00B82526">
          <w:pPr>
            <w:widowControl w:val="0"/>
            <w:tabs>
              <w:tab w:val="right" w:pos="12000"/>
            </w:tabs>
            <w:spacing w:before="60"/>
            <w:rPr>
              <w:b/>
              <w:bCs/>
              <w:color w:val="000000"/>
              <w:sz w:val="22"/>
              <w:szCs w:val="22"/>
            </w:rPr>
          </w:pPr>
          <w:hyperlink>
            <w:r>
              <w:rPr>
                <w:b/>
                <w:bCs/>
                <w:color w:val="000000"/>
                <w:sz w:val="22"/>
                <w:szCs w:val="22"/>
              </w:rPr>
              <w:t>2.  Problem Formulation and Target Justification</w:t>
            </w:r>
            <w:r>
              <w:rPr>
                <w:b/>
                <w:bCs/>
                <w:color w:val="000000"/>
                <w:sz w:val="22"/>
                <w:szCs w:val="22"/>
              </w:rPr>
              <w:tab/>
              <w:t>5</w:t>
            </w:r>
          </w:hyperlink>
        </w:p>
        <w:p w14:paraId="588DC887" w14:textId="77777777" w:rsidR="00B82526" w:rsidRDefault="00B82526">
          <w:pPr>
            <w:widowControl w:val="0"/>
            <w:tabs>
              <w:tab w:val="right" w:pos="12000"/>
            </w:tabs>
            <w:spacing w:before="60"/>
            <w:ind w:left="360"/>
            <w:rPr>
              <w:color w:val="000000"/>
              <w:sz w:val="22"/>
              <w:szCs w:val="22"/>
            </w:rPr>
          </w:pPr>
          <w:hyperlink>
            <w:r>
              <w:rPr>
                <w:color w:val="000000"/>
                <w:sz w:val="22"/>
                <w:szCs w:val="22"/>
              </w:rPr>
              <w:t>2.1  The Prediction Target Definition</w:t>
            </w:r>
            <w:r>
              <w:rPr>
                <w:color w:val="000000"/>
                <w:sz w:val="22"/>
                <w:szCs w:val="22"/>
              </w:rPr>
              <w:tab/>
              <w:t>5</w:t>
            </w:r>
          </w:hyperlink>
        </w:p>
        <w:p w14:paraId="5252D3BC" w14:textId="77777777" w:rsidR="00B82526" w:rsidRDefault="00B82526">
          <w:pPr>
            <w:widowControl w:val="0"/>
            <w:tabs>
              <w:tab w:val="right" w:pos="12000"/>
            </w:tabs>
            <w:spacing w:before="60"/>
            <w:ind w:left="360"/>
            <w:rPr>
              <w:color w:val="000000"/>
              <w:sz w:val="22"/>
              <w:szCs w:val="22"/>
            </w:rPr>
          </w:pPr>
          <w:hyperlink>
            <w:r>
              <w:rPr>
                <w:color w:val="000000"/>
                <w:sz w:val="22"/>
                <w:szCs w:val="22"/>
              </w:rPr>
              <w:t>2.2  Why 24 Operating Hours?</w:t>
            </w:r>
            <w:r>
              <w:rPr>
                <w:color w:val="000000"/>
                <w:sz w:val="22"/>
                <w:szCs w:val="22"/>
              </w:rPr>
              <w:tab/>
              <w:t>5</w:t>
            </w:r>
          </w:hyperlink>
        </w:p>
        <w:p w14:paraId="4E91B454" w14:textId="77777777" w:rsidR="00B82526" w:rsidRDefault="00B82526">
          <w:pPr>
            <w:widowControl w:val="0"/>
            <w:tabs>
              <w:tab w:val="right" w:pos="12000"/>
            </w:tabs>
            <w:spacing w:before="60"/>
            <w:ind w:left="360"/>
            <w:rPr>
              <w:color w:val="000000"/>
              <w:sz w:val="22"/>
              <w:szCs w:val="22"/>
            </w:rPr>
          </w:pPr>
          <w:hyperlink>
            <w:r>
              <w:rPr>
                <w:color w:val="000000"/>
                <w:sz w:val="22"/>
                <w:szCs w:val="22"/>
              </w:rPr>
              <w:t>2.3  Distinguishing Ground Truth from OEM Thresholds</w:t>
            </w:r>
            <w:r>
              <w:rPr>
                <w:color w:val="000000"/>
                <w:sz w:val="22"/>
                <w:szCs w:val="22"/>
              </w:rPr>
              <w:tab/>
              <w:t>6</w:t>
            </w:r>
          </w:hyperlink>
        </w:p>
        <w:p w14:paraId="46BFDCF9" w14:textId="77777777" w:rsidR="00B82526" w:rsidRDefault="00B82526">
          <w:pPr>
            <w:widowControl w:val="0"/>
            <w:tabs>
              <w:tab w:val="right" w:pos="12000"/>
            </w:tabs>
            <w:spacing w:before="60"/>
            <w:rPr>
              <w:b/>
              <w:bCs/>
              <w:color w:val="000000"/>
              <w:sz w:val="22"/>
              <w:szCs w:val="22"/>
            </w:rPr>
          </w:pPr>
          <w:hyperlink>
            <w:r>
              <w:rPr>
                <w:b/>
                <w:bCs/>
                <w:color w:val="000000"/>
                <w:sz w:val="22"/>
                <w:szCs w:val="22"/>
              </w:rPr>
              <w:t>3.  Exploratory Data Analysis and Data Science Diagnostics</w:t>
            </w:r>
            <w:r>
              <w:rPr>
                <w:b/>
                <w:bCs/>
                <w:color w:val="000000"/>
                <w:sz w:val="22"/>
                <w:szCs w:val="22"/>
              </w:rPr>
              <w:tab/>
              <w:t>6</w:t>
            </w:r>
          </w:hyperlink>
        </w:p>
        <w:p w14:paraId="498D09DC" w14:textId="77777777" w:rsidR="00B82526" w:rsidRDefault="00B82526">
          <w:pPr>
            <w:widowControl w:val="0"/>
            <w:tabs>
              <w:tab w:val="right" w:pos="12000"/>
            </w:tabs>
            <w:spacing w:before="60"/>
            <w:ind w:left="360"/>
            <w:rPr>
              <w:color w:val="000000"/>
              <w:sz w:val="22"/>
              <w:szCs w:val="22"/>
            </w:rPr>
          </w:pPr>
          <w:hyperlink>
            <w:r>
              <w:rPr>
                <w:color w:val="000000"/>
                <w:sz w:val="22"/>
                <w:szCs w:val="22"/>
              </w:rPr>
              <w:t>3.1  Sensor Multicollinearity Analysis</w:t>
            </w:r>
            <w:r>
              <w:rPr>
                <w:color w:val="000000"/>
                <w:sz w:val="22"/>
                <w:szCs w:val="22"/>
              </w:rPr>
              <w:tab/>
              <w:t>6</w:t>
            </w:r>
          </w:hyperlink>
        </w:p>
        <w:p w14:paraId="42C008C0" w14:textId="77777777" w:rsidR="00B82526" w:rsidRDefault="00B82526">
          <w:pPr>
            <w:widowControl w:val="0"/>
            <w:tabs>
              <w:tab w:val="right" w:pos="12000"/>
            </w:tabs>
            <w:spacing w:before="60"/>
            <w:ind w:left="360"/>
            <w:rPr>
              <w:color w:val="000000"/>
              <w:sz w:val="22"/>
              <w:szCs w:val="22"/>
            </w:rPr>
          </w:pPr>
          <w:hyperlink>
            <w:r>
              <w:rPr>
                <w:color w:val="000000"/>
                <w:sz w:val="22"/>
                <w:szCs w:val="22"/>
              </w:rPr>
              <w:t>3.2  Transient Spikes versus True Degradation: The DZ-142 False Alarm</w:t>
            </w:r>
            <w:r>
              <w:rPr>
                <w:color w:val="000000"/>
                <w:sz w:val="22"/>
                <w:szCs w:val="22"/>
              </w:rPr>
              <w:tab/>
              <w:t>8</w:t>
            </w:r>
          </w:hyperlink>
        </w:p>
        <w:p w14:paraId="5C1C80B2" w14:textId="77777777" w:rsidR="00B82526" w:rsidRDefault="00B82526">
          <w:pPr>
            <w:widowControl w:val="0"/>
            <w:tabs>
              <w:tab w:val="right" w:pos="12000"/>
            </w:tabs>
            <w:spacing w:before="60"/>
            <w:rPr>
              <w:b/>
              <w:bCs/>
              <w:color w:val="000000"/>
              <w:sz w:val="22"/>
              <w:szCs w:val="22"/>
            </w:rPr>
          </w:pPr>
          <w:hyperlink>
            <w:r>
              <w:rPr>
                <w:b/>
                <w:bCs/>
                <w:color w:val="000000"/>
                <w:sz w:val="22"/>
                <w:szCs w:val="22"/>
              </w:rPr>
              <w:t>4.  Time-Series Leakage Prevention and Validation Strategy</w:t>
            </w:r>
            <w:r>
              <w:rPr>
                <w:b/>
                <w:bCs/>
                <w:color w:val="000000"/>
                <w:sz w:val="22"/>
                <w:szCs w:val="22"/>
              </w:rPr>
              <w:tab/>
              <w:t>9</w:t>
            </w:r>
          </w:hyperlink>
        </w:p>
        <w:p w14:paraId="4C82096D" w14:textId="77777777" w:rsidR="00B82526" w:rsidRDefault="00B82526">
          <w:pPr>
            <w:widowControl w:val="0"/>
            <w:tabs>
              <w:tab w:val="right" w:pos="12000"/>
            </w:tabs>
            <w:spacing w:before="60"/>
            <w:rPr>
              <w:b/>
              <w:bCs/>
              <w:color w:val="000000"/>
              <w:sz w:val="22"/>
              <w:szCs w:val="22"/>
            </w:rPr>
          </w:pPr>
          <w:hyperlink>
            <w:r>
              <w:rPr>
                <w:b/>
                <w:bCs/>
                <w:color w:val="000000"/>
                <w:sz w:val="22"/>
                <w:szCs w:val="22"/>
              </w:rPr>
              <w:t>5.  Feature Engineering (407 Covariates)</w:t>
            </w:r>
            <w:r>
              <w:rPr>
                <w:b/>
                <w:bCs/>
                <w:color w:val="000000"/>
                <w:sz w:val="22"/>
                <w:szCs w:val="22"/>
              </w:rPr>
              <w:tab/>
              <w:t>10</w:t>
            </w:r>
          </w:hyperlink>
        </w:p>
        <w:p w14:paraId="33B06F7E" w14:textId="77777777" w:rsidR="00B82526" w:rsidRDefault="00B82526">
          <w:pPr>
            <w:widowControl w:val="0"/>
            <w:tabs>
              <w:tab w:val="right" w:pos="12000"/>
            </w:tabs>
            <w:spacing w:before="60"/>
            <w:rPr>
              <w:b/>
              <w:bCs/>
              <w:color w:val="000000"/>
              <w:sz w:val="22"/>
              <w:szCs w:val="22"/>
            </w:rPr>
          </w:pPr>
          <w:hyperlink>
            <w:r>
              <w:rPr>
                <w:b/>
                <w:bCs/>
                <w:color w:val="000000"/>
                <w:sz w:val="22"/>
                <w:szCs w:val="22"/>
              </w:rPr>
              <w:t>6.  Model Benchmarking and Out-of-Fold Results</w:t>
            </w:r>
            <w:r>
              <w:rPr>
                <w:b/>
                <w:bCs/>
                <w:color w:val="000000"/>
                <w:sz w:val="22"/>
                <w:szCs w:val="22"/>
              </w:rPr>
              <w:tab/>
              <w:t>10</w:t>
            </w:r>
          </w:hyperlink>
        </w:p>
        <w:p w14:paraId="12B206E6" w14:textId="77777777" w:rsidR="00B82526" w:rsidRDefault="00B82526">
          <w:pPr>
            <w:widowControl w:val="0"/>
            <w:tabs>
              <w:tab w:val="right" w:pos="12000"/>
            </w:tabs>
            <w:spacing w:before="60"/>
            <w:ind w:left="360"/>
            <w:rPr>
              <w:color w:val="000000"/>
              <w:sz w:val="22"/>
              <w:szCs w:val="22"/>
            </w:rPr>
          </w:pPr>
          <w:hyperlink>
            <w:r>
              <w:rPr>
                <w:color w:val="000000"/>
                <w:sz w:val="22"/>
                <w:szCs w:val="22"/>
              </w:rPr>
              <w:t>6.1  Chronological Out-of-Fold Test Results (Evaluating Unseen Failure on DZ-118)</w:t>
            </w:r>
            <w:r>
              <w:rPr>
                <w:color w:val="000000"/>
                <w:sz w:val="22"/>
                <w:szCs w:val="22"/>
              </w:rPr>
              <w:tab/>
              <w:t>10</w:t>
            </w:r>
          </w:hyperlink>
        </w:p>
        <w:p w14:paraId="52BF5C07" w14:textId="77777777" w:rsidR="00B82526" w:rsidRDefault="00B82526">
          <w:pPr>
            <w:widowControl w:val="0"/>
            <w:tabs>
              <w:tab w:val="right" w:pos="12000"/>
            </w:tabs>
            <w:spacing w:before="60"/>
            <w:ind w:left="360"/>
            <w:rPr>
              <w:color w:val="000000"/>
              <w:sz w:val="22"/>
              <w:szCs w:val="22"/>
            </w:rPr>
          </w:pPr>
          <w:hyperlink>
            <w:r>
              <w:rPr>
                <w:color w:val="000000"/>
                <w:sz w:val="22"/>
                <w:szCs w:val="22"/>
              </w:rPr>
              <w:t>6.2  Why PR-AUC and Operational Threshold Tuning Are Essential</w:t>
            </w:r>
            <w:r>
              <w:rPr>
                <w:color w:val="000000"/>
                <w:sz w:val="22"/>
                <w:szCs w:val="22"/>
              </w:rPr>
              <w:tab/>
              <w:t>12</w:t>
            </w:r>
          </w:hyperlink>
        </w:p>
        <w:p w14:paraId="123A5468" w14:textId="77777777" w:rsidR="00B82526" w:rsidRDefault="00B82526">
          <w:pPr>
            <w:widowControl w:val="0"/>
            <w:tabs>
              <w:tab w:val="right" w:pos="12000"/>
            </w:tabs>
            <w:spacing w:before="60"/>
            <w:ind w:left="360"/>
            <w:rPr>
              <w:color w:val="000000"/>
              <w:sz w:val="22"/>
              <w:szCs w:val="22"/>
            </w:rPr>
          </w:pPr>
          <w:hyperlink>
            <w:r>
              <w:rPr>
                <w:color w:val="000000"/>
                <w:sz w:val="22"/>
                <w:szCs w:val="22"/>
              </w:rPr>
              <w:t>6.3  Sensor Forecasting Baselines</w:t>
            </w:r>
            <w:r>
              <w:rPr>
                <w:color w:val="000000"/>
                <w:sz w:val="22"/>
                <w:szCs w:val="22"/>
              </w:rPr>
              <w:tab/>
              <w:t>13</w:t>
            </w:r>
          </w:hyperlink>
        </w:p>
        <w:p w14:paraId="62C4E7C8" w14:textId="77777777" w:rsidR="00B82526" w:rsidRDefault="00B82526">
          <w:pPr>
            <w:widowControl w:val="0"/>
            <w:tabs>
              <w:tab w:val="right" w:pos="12000"/>
            </w:tabs>
            <w:spacing w:before="60"/>
            <w:rPr>
              <w:b/>
              <w:bCs/>
              <w:color w:val="000000"/>
              <w:sz w:val="22"/>
              <w:szCs w:val="22"/>
            </w:rPr>
          </w:pPr>
          <w:hyperlink>
            <w:r>
              <w:rPr>
                <w:b/>
                <w:bCs/>
                <w:color w:val="000000"/>
                <w:sz w:val="22"/>
                <w:szCs w:val="22"/>
              </w:rPr>
              <w:t>7.  Case Study: Resolution of the DZ-142 False Alarm</w:t>
            </w:r>
            <w:r>
              <w:rPr>
                <w:b/>
                <w:bCs/>
                <w:color w:val="000000"/>
                <w:sz w:val="22"/>
                <w:szCs w:val="22"/>
              </w:rPr>
              <w:tab/>
              <w:t>14</w:t>
            </w:r>
          </w:hyperlink>
        </w:p>
        <w:p w14:paraId="36FCC0DE" w14:textId="77777777" w:rsidR="00B82526" w:rsidRDefault="00B82526">
          <w:pPr>
            <w:widowControl w:val="0"/>
            <w:tabs>
              <w:tab w:val="right" w:pos="12000"/>
            </w:tabs>
            <w:spacing w:before="60"/>
            <w:rPr>
              <w:b/>
              <w:bCs/>
              <w:color w:val="000000"/>
              <w:sz w:val="22"/>
              <w:szCs w:val="22"/>
            </w:rPr>
          </w:pPr>
          <w:hyperlink>
            <w:r>
              <w:rPr>
                <w:b/>
                <w:bCs/>
                <w:color w:val="000000"/>
                <w:sz w:val="22"/>
                <w:szCs w:val="22"/>
              </w:rPr>
              <w:t>8.  Business Outcome and Cost Asymmetry</w:t>
            </w:r>
            <w:r>
              <w:rPr>
                <w:b/>
                <w:bCs/>
                <w:color w:val="000000"/>
                <w:sz w:val="22"/>
                <w:szCs w:val="22"/>
              </w:rPr>
              <w:tab/>
              <w:t>14</w:t>
            </w:r>
          </w:hyperlink>
        </w:p>
        <w:p w14:paraId="197FDCFE" w14:textId="77777777" w:rsidR="00B82526" w:rsidRDefault="00B82526">
          <w:pPr>
            <w:widowControl w:val="0"/>
            <w:tabs>
              <w:tab w:val="right" w:pos="12000"/>
            </w:tabs>
            <w:spacing w:before="60"/>
            <w:rPr>
              <w:b/>
              <w:bCs/>
              <w:color w:val="000000"/>
              <w:sz w:val="22"/>
              <w:szCs w:val="22"/>
            </w:rPr>
          </w:pPr>
          <w:hyperlink>
            <w:r>
              <w:rPr>
                <w:b/>
                <w:bCs/>
                <w:color w:val="000000"/>
                <w:sz w:val="22"/>
                <w:szCs w:val="22"/>
              </w:rPr>
              <w:t>9.  Production Systems Architecture and CMMS Integration</w:t>
            </w:r>
            <w:r>
              <w:rPr>
                <w:b/>
                <w:bCs/>
                <w:color w:val="000000"/>
                <w:sz w:val="22"/>
                <w:szCs w:val="22"/>
              </w:rPr>
              <w:tab/>
              <w:t>15</w:t>
            </w:r>
          </w:hyperlink>
        </w:p>
        <w:p w14:paraId="594DB5AB" w14:textId="77777777" w:rsidR="00B82526" w:rsidRDefault="00B82526">
          <w:pPr>
            <w:widowControl w:val="0"/>
            <w:tabs>
              <w:tab w:val="right" w:pos="12000"/>
            </w:tabs>
            <w:spacing w:before="60"/>
            <w:ind w:left="360"/>
            <w:rPr>
              <w:color w:val="000000"/>
              <w:sz w:val="22"/>
              <w:szCs w:val="22"/>
            </w:rPr>
          </w:pPr>
          <w:hyperlink>
            <w:r>
              <w:rPr>
                <w:color w:val="000000"/>
                <w:sz w:val="22"/>
                <w:szCs w:val="22"/>
              </w:rPr>
              <w:t>9.1  Production Monitoring Flow</w:t>
            </w:r>
            <w:r>
              <w:rPr>
                <w:color w:val="000000"/>
                <w:sz w:val="22"/>
                <w:szCs w:val="22"/>
              </w:rPr>
              <w:tab/>
              <w:t>15</w:t>
            </w:r>
          </w:hyperlink>
        </w:p>
        <w:p w14:paraId="153F4035" w14:textId="77777777" w:rsidR="00B82526" w:rsidRDefault="00B82526">
          <w:pPr>
            <w:widowControl w:val="0"/>
            <w:tabs>
              <w:tab w:val="right" w:pos="12000"/>
            </w:tabs>
            <w:spacing w:before="60"/>
            <w:ind w:left="360"/>
            <w:rPr>
              <w:color w:val="000000"/>
              <w:sz w:val="22"/>
              <w:szCs w:val="22"/>
            </w:rPr>
          </w:pPr>
          <w:hyperlink>
            <w:r>
              <w:rPr>
                <w:color w:val="000000"/>
                <w:sz w:val="22"/>
                <w:szCs w:val="22"/>
              </w:rPr>
              <w:t>9.2  Integration with Maintenance Plans (SAP PM / IBM Maximo)</w:t>
            </w:r>
            <w:r>
              <w:rPr>
                <w:color w:val="000000"/>
                <w:sz w:val="22"/>
                <w:szCs w:val="22"/>
              </w:rPr>
              <w:tab/>
              <w:t>15</w:t>
            </w:r>
          </w:hyperlink>
        </w:p>
        <w:p w14:paraId="368EF7FD" w14:textId="77777777" w:rsidR="00B82526" w:rsidRDefault="00B82526">
          <w:pPr>
            <w:widowControl w:val="0"/>
            <w:tabs>
              <w:tab w:val="right" w:pos="12000"/>
            </w:tabs>
            <w:spacing w:before="60"/>
            <w:rPr>
              <w:b/>
              <w:bCs/>
              <w:color w:val="000000"/>
              <w:sz w:val="22"/>
              <w:szCs w:val="22"/>
            </w:rPr>
          </w:pPr>
          <w:hyperlink>
            <w:r>
              <w:rPr>
                <w:b/>
                <w:bCs/>
                <w:color w:val="000000"/>
                <w:sz w:val="22"/>
                <w:szCs w:val="22"/>
              </w:rPr>
              <w:t>10.  MLOps: Robustness and Sensor Drift Monitoring</w:t>
            </w:r>
            <w:r>
              <w:rPr>
                <w:b/>
                <w:bCs/>
                <w:color w:val="000000"/>
                <w:sz w:val="22"/>
                <w:szCs w:val="22"/>
              </w:rPr>
              <w:tab/>
              <w:t>15</w:t>
            </w:r>
          </w:hyperlink>
        </w:p>
        <w:p w14:paraId="25CC6A5F" w14:textId="77777777" w:rsidR="00B82526" w:rsidRDefault="00B82526">
          <w:pPr>
            <w:widowControl w:val="0"/>
            <w:tabs>
              <w:tab w:val="right" w:pos="12000"/>
            </w:tabs>
            <w:spacing w:before="60"/>
            <w:rPr>
              <w:b/>
              <w:bCs/>
              <w:color w:val="000000"/>
              <w:sz w:val="22"/>
              <w:szCs w:val="22"/>
            </w:rPr>
          </w:pPr>
          <w:hyperlink>
            <w:r>
              <w:rPr>
                <w:b/>
                <w:bCs/>
                <w:color w:val="000000"/>
                <w:sz w:val="22"/>
                <w:szCs w:val="22"/>
              </w:rPr>
              <w:t>11.  Limitations and Next Steps</w:t>
            </w:r>
            <w:r>
              <w:rPr>
                <w:b/>
                <w:bCs/>
                <w:color w:val="000000"/>
                <w:sz w:val="22"/>
                <w:szCs w:val="22"/>
              </w:rPr>
              <w:tab/>
              <w:t>16</w:t>
            </w:r>
          </w:hyperlink>
          <w:r>
            <w:fldChar w:fldCharType="end"/>
          </w:r>
        </w:p>
      </w:sdtContent>
    </w:sdt>
    <w:p w14:paraId="2E19809A" w14:textId="77777777" w:rsidR="00B82526" w:rsidRDefault="00000000">
      <w:r>
        <w:br w:type="page"/>
      </w:r>
    </w:p>
    <w:p w14:paraId="23674F5E" w14:textId="77777777" w:rsidR="00B82526" w:rsidRDefault="00000000">
      <w:pPr>
        <w:pStyle w:val="Heading1"/>
        <w:spacing w:before="0" w:after="300"/>
        <w:rPr>
          <w:u w:val="single"/>
        </w:rPr>
      </w:pPr>
      <w:r w:rsidRPr="00A87967">
        <w:rPr>
          <w:u w:val="single"/>
        </w:rPr>
        <w:t>List of Abbreviations</w:t>
      </w:r>
    </w:p>
    <w:p w14:paraId="4F0F326F" w14:textId="77777777" w:rsidR="00AA0EC2" w:rsidRPr="00AA0EC2" w:rsidRDefault="00AA0EC2" w:rsidP="00AA0EC2">
      <w:pPr>
        <w:rPr>
          <w:b/>
          <w:bCs/>
          <w:i/>
          <w:iCs/>
        </w:rPr>
      </w:pPr>
      <w:r w:rsidRPr="00AA0EC2">
        <w:rPr>
          <w:b/>
          <w:bCs/>
          <w:i/>
          <w:iCs/>
        </w:rPr>
        <w:t>Table i: List of Abbreviations and Operational Acronyms</w:t>
      </w:r>
    </w:p>
    <w:p w14:paraId="02E5741F" w14:textId="77777777" w:rsidR="00AA0EC2" w:rsidRPr="00AA0EC2" w:rsidRDefault="00AA0EC2" w:rsidP="00AA0EC2"/>
    <w:tbl>
      <w:tblPr>
        <w:tblStyle w:val="TableGrid"/>
        <w:tblW w:w="9100" w:type="dxa"/>
        <w:tblLayout w:type="fixed"/>
        <w:tblLook w:val="0000" w:firstRow="0" w:lastRow="0" w:firstColumn="0" w:lastColumn="0" w:noHBand="0" w:noVBand="0"/>
      </w:tblPr>
      <w:tblGrid>
        <w:gridCol w:w="2200"/>
        <w:gridCol w:w="6900"/>
      </w:tblGrid>
      <w:tr w:rsidR="00B82526" w14:paraId="029B3635" w14:textId="77777777" w:rsidTr="0096027B">
        <w:tc>
          <w:tcPr>
            <w:tcW w:w="2200" w:type="dxa"/>
          </w:tcPr>
          <w:p w14:paraId="4D5C7E32" w14:textId="77777777" w:rsidR="00B82526" w:rsidRDefault="00000000" w:rsidP="0096027B">
            <w:pPr>
              <w:spacing w:line="480" w:lineRule="auto"/>
              <w:jc w:val="center"/>
            </w:pPr>
            <w:r>
              <w:rPr>
                <w:b/>
                <w:bCs/>
                <w:sz w:val="22"/>
                <w:szCs w:val="22"/>
              </w:rPr>
              <w:t>Abbreviation</w:t>
            </w:r>
          </w:p>
        </w:tc>
        <w:tc>
          <w:tcPr>
            <w:tcW w:w="6900" w:type="dxa"/>
          </w:tcPr>
          <w:p w14:paraId="70623514" w14:textId="77777777" w:rsidR="00B82526" w:rsidRDefault="00000000" w:rsidP="0096027B">
            <w:pPr>
              <w:spacing w:line="480" w:lineRule="auto"/>
              <w:jc w:val="center"/>
            </w:pPr>
            <w:r>
              <w:rPr>
                <w:b/>
                <w:bCs/>
                <w:sz w:val="22"/>
                <w:szCs w:val="22"/>
              </w:rPr>
              <w:t>Definition</w:t>
            </w:r>
          </w:p>
        </w:tc>
      </w:tr>
      <w:tr w:rsidR="00B82526" w14:paraId="09313CF4" w14:textId="77777777" w:rsidTr="0096027B">
        <w:tc>
          <w:tcPr>
            <w:tcW w:w="2200" w:type="dxa"/>
          </w:tcPr>
          <w:p w14:paraId="177B3F23" w14:textId="77777777" w:rsidR="00B82526" w:rsidRDefault="00000000" w:rsidP="0096027B">
            <w:pPr>
              <w:spacing w:line="480" w:lineRule="auto"/>
              <w:jc w:val="center"/>
            </w:pPr>
            <w:r>
              <w:rPr>
                <w:b/>
                <w:bCs/>
                <w:sz w:val="22"/>
                <w:szCs w:val="22"/>
              </w:rPr>
              <w:t>SMR</w:t>
            </w:r>
          </w:p>
        </w:tc>
        <w:tc>
          <w:tcPr>
            <w:tcW w:w="6900" w:type="dxa"/>
          </w:tcPr>
          <w:p w14:paraId="6E31D7D0" w14:textId="77777777" w:rsidR="00B82526" w:rsidRDefault="00000000" w:rsidP="0096027B">
            <w:pPr>
              <w:spacing w:line="480" w:lineRule="auto"/>
            </w:pPr>
            <w:r>
              <w:rPr>
                <w:sz w:val="22"/>
                <w:szCs w:val="22"/>
              </w:rPr>
              <w:t>Service Meter Reading</w:t>
            </w:r>
          </w:p>
        </w:tc>
      </w:tr>
      <w:tr w:rsidR="00B82526" w14:paraId="56EBB2DD" w14:textId="77777777" w:rsidTr="0096027B">
        <w:tc>
          <w:tcPr>
            <w:tcW w:w="2200" w:type="dxa"/>
          </w:tcPr>
          <w:p w14:paraId="40FC0FD1" w14:textId="77777777" w:rsidR="00B82526" w:rsidRDefault="00000000" w:rsidP="0096027B">
            <w:pPr>
              <w:spacing w:line="480" w:lineRule="auto"/>
              <w:jc w:val="center"/>
            </w:pPr>
            <w:r>
              <w:rPr>
                <w:b/>
                <w:bCs/>
                <w:sz w:val="22"/>
                <w:szCs w:val="22"/>
              </w:rPr>
              <w:t>OEM</w:t>
            </w:r>
          </w:p>
        </w:tc>
        <w:tc>
          <w:tcPr>
            <w:tcW w:w="6900" w:type="dxa"/>
          </w:tcPr>
          <w:p w14:paraId="20F7A117" w14:textId="77777777" w:rsidR="00B82526" w:rsidRDefault="00000000" w:rsidP="0096027B">
            <w:pPr>
              <w:spacing w:line="480" w:lineRule="auto"/>
            </w:pPr>
            <w:r>
              <w:rPr>
                <w:sz w:val="22"/>
                <w:szCs w:val="22"/>
              </w:rPr>
              <w:t>Original Equipment Manufacturer</w:t>
            </w:r>
          </w:p>
        </w:tc>
      </w:tr>
      <w:tr w:rsidR="00B82526" w14:paraId="1357DD28" w14:textId="77777777" w:rsidTr="0096027B">
        <w:tc>
          <w:tcPr>
            <w:tcW w:w="2200" w:type="dxa"/>
          </w:tcPr>
          <w:p w14:paraId="2B39BB60" w14:textId="77777777" w:rsidR="00B82526" w:rsidRDefault="00000000" w:rsidP="0096027B">
            <w:pPr>
              <w:spacing w:line="480" w:lineRule="auto"/>
              <w:jc w:val="center"/>
            </w:pPr>
            <w:r>
              <w:rPr>
                <w:b/>
                <w:bCs/>
                <w:sz w:val="22"/>
                <w:szCs w:val="22"/>
              </w:rPr>
              <w:t>CMMS</w:t>
            </w:r>
          </w:p>
        </w:tc>
        <w:tc>
          <w:tcPr>
            <w:tcW w:w="6900" w:type="dxa"/>
          </w:tcPr>
          <w:p w14:paraId="60D62BB6" w14:textId="77777777" w:rsidR="00B82526" w:rsidRDefault="00000000" w:rsidP="0096027B">
            <w:pPr>
              <w:spacing w:line="480" w:lineRule="auto"/>
            </w:pPr>
            <w:r>
              <w:rPr>
                <w:sz w:val="22"/>
                <w:szCs w:val="22"/>
              </w:rPr>
              <w:t>Computerized Maintenance Management System</w:t>
            </w:r>
          </w:p>
        </w:tc>
      </w:tr>
      <w:tr w:rsidR="00B82526" w14:paraId="5524A019" w14:textId="77777777" w:rsidTr="0096027B">
        <w:tc>
          <w:tcPr>
            <w:tcW w:w="2200" w:type="dxa"/>
          </w:tcPr>
          <w:p w14:paraId="2CCBFA8F" w14:textId="77777777" w:rsidR="00B82526" w:rsidRDefault="00000000" w:rsidP="0096027B">
            <w:pPr>
              <w:spacing w:line="480" w:lineRule="auto"/>
              <w:jc w:val="center"/>
            </w:pPr>
            <w:r>
              <w:rPr>
                <w:b/>
                <w:bCs/>
                <w:sz w:val="22"/>
                <w:szCs w:val="22"/>
              </w:rPr>
              <w:t>PR-AUC</w:t>
            </w:r>
          </w:p>
        </w:tc>
        <w:tc>
          <w:tcPr>
            <w:tcW w:w="6900" w:type="dxa"/>
          </w:tcPr>
          <w:p w14:paraId="28580E2D" w14:textId="77777777" w:rsidR="00B82526" w:rsidRDefault="00000000" w:rsidP="0096027B">
            <w:pPr>
              <w:spacing w:line="480" w:lineRule="auto"/>
            </w:pPr>
            <w:r>
              <w:rPr>
                <w:sz w:val="22"/>
                <w:szCs w:val="22"/>
              </w:rPr>
              <w:t>Precision-Recall Area Under the Curve</w:t>
            </w:r>
          </w:p>
        </w:tc>
      </w:tr>
      <w:tr w:rsidR="00B82526" w14:paraId="0D7F3C7F" w14:textId="77777777" w:rsidTr="0096027B">
        <w:tc>
          <w:tcPr>
            <w:tcW w:w="2200" w:type="dxa"/>
          </w:tcPr>
          <w:p w14:paraId="791ED16B" w14:textId="77777777" w:rsidR="00B82526" w:rsidRDefault="00000000" w:rsidP="0096027B">
            <w:pPr>
              <w:spacing w:line="480" w:lineRule="auto"/>
              <w:jc w:val="center"/>
            </w:pPr>
            <w:r>
              <w:rPr>
                <w:b/>
                <w:bCs/>
                <w:sz w:val="22"/>
                <w:szCs w:val="22"/>
              </w:rPr>
              <w:t>ROC-AUC</w:t>
            </w:r>
          </w:p>
        </w:tc>
        <w:tc>
          <w:tcPr>
            <w:tcW w:w="6900" w:type="dxa"/>
          </w:tcPr>
          <w:p w14:paraId="2E54FD1E" w14:textId="77777777" w:rsidR="00B82526" w:rsidRDefault="00000000" w:rsidP="0096027B">
            <w:pPr>
              <w:spacing w:line="480" w:lineRule="auto"/>
            </w:pPr>
            <w:r>
              <w:rPr>
                <w:sz w:val="22"/>
                <w:szCs w:val="22"/>
              </w:rPr>
              <w:t>Receiver Operating Characteristic Area Under the Curve</w:t>
            </w:r>
          </w:p>
        </w:tc>
      </w:tr>
      <w:tr w:rsidR="00B82526" w14:paraId="28EE3E1A" w14:textId="77777777" w:rsidTr="0096027B">
        <w:tc>
          <w:tcPr>
            <w:tcW w:w="2200" w:type="dxa"/>
          </w:tcPr>
          <w:p w14:paraId="65408A62" w14:textId="77777777" w:rsidR="00B82526" w:rsidRDefault="00000000" w:rsidP="0096027B">
            <w:pPr>
              <w:spacing w:line="480" w:lineRule="auto"/>
              <w:jc w:val="center"/>
            </w:pPr>
            <w:r>
              <w:rPr>
                <w:b/>
                <w:bCs/>
                <w:sz w:val="22"/>
                <w:szCs w:val="22"/>
              </w:rPr>
              <w:t>PSI</w:t>
            </w:r>
          </w:p>
        </w:tc>
        <w:tc>
          <w:tcPr>
            <w:tcW w:w="6900" w:type="dxa"/>
          </w:tcPr>
          <w:p w14:paraId="7809BEEB" w14:textId="77777777" w:rsidR="00B82526" w:rsidRDefault="00000000" w:rsidP="0096027B">
            <w:pPr>
              <w:spacing w:line="480" w:lineRule="auto"/>
            </w:pPr>
            <w:r>
              <w:rPr>
                <w:sz w:val="22"/>
                <w:szCs w:val="22"/>
              </w:rPr>
              <w:t>Population Stability Index</w:t>
            </w:r>
          </w:p>
        </w:tc>
      </w:tr>
      <w:tr w:rsidR="00B82526" w14:paraId="5ABB4CAC" w14:textId="77777777" w:rsidTr="0096027B">
        <w:tc>
          <w:tcPr>
            <w:tcW w:w="2200" w:type="dxa"/>
          </w:tcPr>
          <w:p w14:paraId="56D12151" w14:textId="77777777" w:rsidR="00B82526" w:rsidRDefault="00000000" w:rsidP="0096027B">
            <w:pPr>
              <w:spacing w:line="480" w:lineRule="auto"/>
              <w:jc w:val="center"/>
            </w:pPr>
            <w:r>
              <w:rPr>
                <w:b/>
                <w:bCs/>
                <w:sz w:val="22"/>
                <w:szCs w:val="22"/>
              </w:rPr>
              <w:t>EDA</w:t>
            </w:r>
          </w:p>
        </w:tc>
        <w:tc>
          <w:tcPr>
            <w:tcW w:w="6900" w:type="dxa"/>
          </w:tcPr>
          <w:p w14:paraId="2FF81145" w14:textId="77777777" w:rsidR="00B82526" w:rsidRDefault="00000000" w:rsidP="0096027B">
            <w:pPr>
              <w:spacing w:line="480" w:lineRule="auto"/>
            </w:pPr>
            <w:r>
              <w:rPr>
                <w:sz w:val="22"/>
                <w:szCs w:val="22"/>
              </w:rPr>
              <w:t>Exploratory Data Analysis</w:t>
            </w:r>
          </w:p>
        </w:tc>
      </w:tr>
      <w:tr w:rsidR="00B82526" w14:paraId="4CDB427F" w14:textId="77777777" w:rsidTr="0096027B">
        <w:tc>
          <w:tcPr>
            <w:tcW w:w="2200" w:type="dxa"/>
          </w:tcPr>
          <w:p w14:paraId="5E793CB2" w14:textId="77777777" w:rsidR="00B82526" w:rsidRDefault="00000000" w:rsidP="0096027B">
            <w:pPr>
              <w:spacing w:line="480" w:lineRule="auto"/>
              <w:jc w:val="center"/>
            </w:pPr>
            <w:r>
              <w:rPr>
                <w:b/>
                <w:bCs/>
                <w:sz w:val="22"/>
                <w:szCs w:val="22"/>
              </w:rPr>
              <w:t>MAE</w:t>
            </w:r>
          </w:p>
        </w:tc>
        <w:tc>
          <w:tcPr>
            <w:tcW w:w="6900" w:type="dxa"/>
          </w:tcPr>
          <w:p w14:paraId="6C1A6D2D" w14:textId="77777777" w:rsidR="00B82526" w:rsidRDefault="00000000" w:rsidP="0096027B">
            <w:pPr>
              <w:spacing w:line="480" w:lineRule="auto"/>
            </w:pPr>
            <w:r>
              <w:rPr>
                <w:sz w:val="22"/>
                <w:szCs w:val="22"/>
              </w:rPr>
              <w:t>Mean Absolute Error</w:t>
            </w:r>
          </w:p>
        </w:tc>
      </w:tr>
      <w:tr w:rsidR="00B82526" w14:paraId="35DBE429" w14:textId="77777777" w:rsidTr="0096027B">
        <w:tc>
          <w:tcPr>
            <w:tcW w:w="2200" w:type="dxa"/>
          </w:tcPr>
          <w:p w14:paraId="1292D263" w14:textId="77777777" w:rsidR="00B82526" w:rsidRDefault="00000000" w:rsidP="0096027B">
            <w:pPr>
              <w:spacing w:line="480" w:lineRule="auto"/>
              <w:jc w:val="center"/>
            </w:pPr>
            <w:r>
              <w:rPr>
                <w:b/>
                <w:bCs/>
                <w:sz w:val="22"/>
                <w:szCs w:val="22"/>
              </w:rPr>
              <w:t>IoT</w:t>
            </w:r>
          </w:p>
        </w:tc>
        <w:tc>
          <w:tcPr>
            <w:tcW w:w="6900" w:type="dxa"/>
          </w:tcPr>
          <w:p w14:paraId="259DE80C" w14:textId="77777777" w:rsidR="00B82526" w:rsidRDefault="00000000" w:rsidP="0096027B">
            <w:pPr>
              <w:spacing w:line="480" w:lineRule="auto"/>
            </w:pPr>
            <w:r>
              <w:rPr>
                <w:sz w:val="22"/>
                <w:szCs w:val="22"/>
              </w:rPr>
              <w:t>Internet of Things</w:t>
            </w:r>
          </w:p>
        </w:tc>
      </w:tr>
      <w:tr w:rsidR="00B82526" w14:paraId="33A7BF6D" w14:textId="77777777" w:rsidTr="0096027B">
        <w:tc>
          <w:tcPr>
            <w:tcW w:w="2200" w:type="dxa"/>
          </w:tcPr>
          <w:p w14:paraId="4FCCBD87" w14:textId="77777777" w:rsidR="00B82526" w:rsidRDefault="00000000" w:rsidP="0096027B">
            <w:pPr>
              <w:spacing w:line="480" w:lineRule="auto"/>
              <w:jc w:val="center"/>
            </w:pPr>
            <w:r>
              <w:rPr>
                <w:b/>
                <w:bCs/>
                <w:sz w:val="22"/>
                <w:szCs w:val="22"/>
              </w:rPr>
              <w:t>API</w:t>
            </w:r>
          </w:p>
        </w:tc>
        <w:tc>
          <w:tcPr>
            <w:tcW w:w="6900" w:type="dxa"/>
          </w:tcPr>
          <w:p w14:paraId="7C8FCC91" w14:textId="77777777" w:rsidR="00B82526" w:rsidRDefault="00000000" w:rsidP="0096027B">
            <w:pPr>
              <w:spacing w:line="480" w:lineRule="auto"/>
            </w:pPr>
            <w:r>
              <w:rPr>
                <w:sz w:val="22"/>
                <w:szCs w:val="22"/>
              </w:rPr>
              <w:t>Application Programming Interface</w:t>
            </w:r>
          </w:p>
        </w:tc>
      </w:tr>
    </w:tbl>
    <w:p w14:paraId="4567900A" w14:textId="6E4F40EA" w:rsidR="00B82526" w:rsidRDefault="00B82526"/>
    <w:p w14:paraId="52B9E840" w14:textId="77777777" w:rsidR="00A87967" w:rsidRDefault="00A87967">
      <w:pPr>
        <w:pStyle w:val="Heading1"/>
        <w:sectPr w:rsidR="00A87967" w:rsidSect="00A87967">
          <w:footerReference w:type="default" r:id="rId10"/>
          <w:pgSz w:w="12240" w:h="15840"/>
          <w:pgMar w:top="1440" w:right="1440" w:bottom="1440" w:left="1440" w:header="708" w:footer="708" w:gutter="0"/>
          <w:pgNumType w:fmt="lowerRoman" w:start="1"/>
          <w:cols w:space="720"/>
        </w:sectPr>
      </w:pPr>
    </w:p>
    <w:p w14:paraId="310DA880" w14:textId="77777777" w:rsidR="00B82526" w:rsidRDefault="00000000">
      <w:pPr>
        <w:pStyle w:val="Heading1"/>
      </w:pPr>
      <w:r>
        <w:t>1.  Introduction and Problem Context</w:t>
      </w:r>
    </w:p>
    <w:p w14:paraId="7405FA4F" w14:textId="77777777" w:rsidR="00B82526" w:rsidRDefault="00000000">
      <w:pPr>
        <w:spacing w:before="240" w:after="240" w:line="360" w:lineRule="auto"/>
        <w:jc w:val="both"/>
      </w:pPr>
      <w:r>
        <w:t>For open-cast surface mining processes, the earthmoving dozers play an integral role in production. In the case of unexpected malfunction of prime mechanical parts (diesel engine, high-pressure hydraulic pump) inside the pit, there will be serious production disruption:</w:t>
      </w:r>
    </w:p>
    <w:p w14:paraId="2460914D" w14:textId="77777777" w:rsidR="00B82526" w:rsidRDefault="00000000">
      <w:pPr>
        <w:numPr>
          <w:ilvl w:val="0"/>
          <w:numId w:val="1"/>
        </w:numPr>
        <w:spacing w:before="240" w:after="240" w:line="360" w:lineRule="auto"/>
        <w:jc w:val="both"/>
      </w:pPr>
      <w:r>
        <w:t>There will be loss in production quantity during loading operations waiting for replacement dozers.</w:t>
      </w:r>
    </w:p>
    <w:p w14:paraId="27B30054" w14:textId="77777777" w:rsidR="00B82526" w:rsidRDefault="00000000">
      <w:pPr>
        <w:numPr>
          <w:ilvl w:val="0"/>
          <w:numId w:val="1"/>
        </w:numPr>
        <w:spacing w:before="240" w:after="240" w:line="360" w:lineRule="auto"/>
        <w:jc w:val="both"/>
      </w:pPr>
      <w:r>
        <w:t>Further mechanical failures caused by metal shavings contamination in hydraulic lines and cylinders locking up under the load.</w:t>
      </w:r>
    </w:p>
    <w:p w14:paraId="192069B0" w14:textId="77777777" w:rsidR="00B82526" w:rsidRDefault="00000000">
      <w:pPr>
        <w:numPr>
          <w:ilvl w:val="0"/>
          <w:numId w:val="1"/>
        </w:numPr>
        <w:spacing w:before="240" w:after="240" w:line="360" w:lineRule="auto"/>
        <w:jc w:val="both"/>
      </w:pPr>
      <w:r>
        <w:t>Emergency pit towing operations are dangerous and disrupt primary haulage routes.</w:t>
      </w:r>
    </w:p>
    <w:p w14:paraId="0B83503E" w14:textId="77777777" w:rsidR="00B82526" w:rsidRDefault="00000000">
      <w:pPr>
        <w:spacing w:before="240" w:after="240" w:line="360" w:lineRule="auto"/>
        <w:jc w:val="both"/>
      </w:pPr>
      <w:r>
        <w:t>From the moment of starting the assessment, the purpose of this research became obvious: the creation of a machine learning model that allows giving advanced warning signals to maintenance and planning teams about unplanned dozer malfunction without causing alarm fatigue inside workshops due to a high number of false alarms.</w:t>
      </w:r>
    </w:p>
    <w:p w14:paraId="47AA230E" w14:textId="77777777" w:rsidR="00B82526" w:rsidRDefault="00000000">
      <w:pPr>
        <w:spacing w:before="240" w:after="240" w:line="360" w:lineRule="auto"/>
        <w:jc w:val="both"/>
      </w:pPr>
      <w:r>
        <w:t>The sample dataset used in this study contains six months of uninterrupted one-hour data collection from four dozers (DZ-104, DZ-118, DZ-127, DZ-142) in total of 6,602 observations made. During that period:</w:t>
      </w:r>
    </w:p>
    <w:p w14:paraId="650FA354" w14:textId="77777777" w:rsidR="00B82526" w:rsidRDefault="00000000">
      <w:pPr>
        <w:numPr>
          <w:ilvl w:val="0"/>
          <w:numId w:val="1"/>
        </w:numPr>
        <w:pBdr>
          <w:top w:val="nil"/>
          <w:left w:val="nil"/>
          <w:bottom w:val="nil"/>
          <w:right w:val="nil"/>
          <w:between w:val="nil"/>
        </w:pBdr>
        <w:spacing w:after="120" w:line="360" w:lineRule="auto"/>
        <w:jc w:val="both"/>
      </w:pPr>
      <w:r>
        <w:rPr>
          <w:color w:val="000000"/>
        </w:rPr>
        <w:t>DZ-127 suffered an unplanned hydraulic failure on 18 April 2025.</w:t>
      </w:r>
    </w:p>
    <w:p w14:paraId="23F9C627" w14:textId="77777777" w:rsidR="00B82526" w:rsidRDefault="00000000">
      <w:pPr>
        <w:numPr>
          <w:ilvl w:val="0"/>
          <w:numId w:val="1"/>
        </w:numPr>
        <w:pBdr>
          <w:top w:val="nil"/>
          <w:left w:val="nil"/>
          <w:bottom w:val="nil"/>
          <w:right w:val="nil"/>
          <w:between w:val="nil"/>
        </w:pBdr>
        <w:spacing w:after="120" w:line="360" w:lineRule="auto"/>
        <w:jc w:val="both"/>
      </w:pPr>
      <w:r>
        <w:rPr>
          <w:color w:val="000000"/>
        </w:rPr>
        <w:t>DZ-118 suffered an unplanned diesel engine breakdown on 23 May 2025.</w:t>
      </w:r>
    </w:p>
    <w:p w14:paraId="40338A94" w14:textId="77777777" w:rsidR="00B82526" w:rsidRDefault="00000000">
      <w:pPr>
        <w:numPr>
          <w:ilvl w:val="0"/>
          <w:numId w:val="1"/>
        </w:numPr>
        <w:pBdr>
          <w:top w:val="nil"/>
          <w:left w:val="nil"/>
          <w:bottom w:val="nil"/>
          <w:right w:val="nil"/>
          <w:between w:val="nil"/>
        </w:pBdr>
        <w:spacing w:after="120" w:line="360" w:lineRule="auto"/>
        <w:jc w:val="both"/>
      </w:pPr>
      <w:r>
        <w:rPr>
          <w:color w:val="000000"/>
        </w:rPr>
        <w:t>DZ-142 logged a false alarm on 22 March 2025.</w:t>
      </w:r>
    </w:p>
    <w:p w14:paraId="14582363" w14:textId="77777777" w:rsidR="00B82526" w:rsidRDefault="00000000">
      <w:pPr>
        <w:numPr>
          <w:ilvl w:val="0"/>
          <w:numId w:val="1"/>
        </w:numPr>
        <w:pBdr>
          <w:top w:val="nil"/>
          <w:left w:val="nil"/>
          <w:bottom w:val="nil"/>
          <w:right w:val="nil"/>
          <w:between w:val="nil"/>
        </w:pBdr>
        <w:spacing w:after="120" w:line="360" w:lineRule="auto"/>
        <w:jc w:val="both"/>
      </w:pPr>
      <w:r>
        <w:rPr>
          <w:color w:val="000000"/>
        </w:rPr>
        <w:t>DZ-104 underwent scheduled 250-hour maintenance in January 2025 and operated normally throughout.</w:t>
      </w:r>
    </w:p>
    <w:p w14:paraId="14525BB8" w14:textId="77777777" w:rsidR="00B82526" w:rsidRDefault="00000000">
      <w:pPr>
        <w:spacing w:before="300" w:after="100"/>
        <w:jc w:val="center"/>
      </w:pPr>
      <w:r>
        <w:rPr>
          <w:noProof/>
        </w:rPr>
        <w:drawing>
          <wp:inline distT="0" distB="0" distL="0" distR="0" wp14:anchorId="770475EF" wp14:editId="59B89A74">
            <wp:extent cx="6031230" cy="2640330"/>
            <wp:effectExtent l="19050" t="19050" r="26670" b="2667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6031844" cy="2640599"/>
                    </a:xfrm>
                    <a:prstGeom prst="rect">
                      <a:avLst/>
                    </a:prstGeom>
                    <a:ln>
                      <a:solidFill>
                        <a:schemeClr val="tx1"/>
                      </a:solidFill>
                    </a:ln>
                  </pic:spPr>
                </pic:pic>
              </a:graphicData>
            </a:graphic>
          </wp:inline>
        </w:drawing>
      </w:r>
    </w:p>
    <w:p w14:paraId="369551A6" w14:textId="77777777" w:rsidR="00B82526" w:rsidRDefault="00000000">
      <w:pPr>
        <w:spacing w:before="120" w:after="300"/>
        <w:jc w:val="center"/>
      </w:pPr>
      <w:r>
        <w:rPr>
          <w:b/>
          <w:bCs/>
          <w:sz w:val="22"/>
          <w:szCs w:val="22"/>
        </w:rPr>
        <w:t>Figure 1: 6-Month Fleet Operating Telemetry and Ground-Truth Event Timeline across DZ-104, DZ-118, DZ-127, and DZ-142</w:t>
      </w:r>
    </w:p>
    <w:p w14:paraId="196A22CD" w14:textId="77777777" w:rsidR="00B82526" w:rsidRDefault="00000000">
      <w:pPr>
        <w:spacing w:after="200" w:line="360" w:lineRule="auto"/>
        <w:jc w:val="both"/>
      </w:pPr>
      <w:r>
        <w:t xml:space="preserve">The rest of this document will detail my entire methodology, which includes problem definition, exploratory data analysis, leakage prevention, feature engineering, benchmark </w:t>
      </w:r>
      <w:proofErr w:type="spellStart"/>
      <w:r>
        <w:t>modeling</w:t>
      </w:r>
      <w:proofErr w:type="spellEnd"/>
      <w:r>
        <w:t>, and production system integration.</w:t>
      </w:r>
    </w:p>
    <w:p w14:paraId="17C5CF9E" w14:textId="77777777" w:rsidR="00B82526" w:rsidRDefault="00000000">
      <w:pPr>
        <w:pStyle w:val="Heading1"/>
      </w:pPr>
      <w:r>
        <w:t>2.  Problem Formulation and Target Justification</w:t>
      </w:r>
    </w:p>
    <w:p w14:paraId="1ABA9C45" w14:textId="1447DFB6" w:rsidR="00B82526" w:rsidRDefault="00F222F3">
      <w:pPr>
        <w:pStyle w:val="Heading2"/>
      </w:pPr>
      <w:r>
        <w:t>2.1 The Prediction Target Definition</w:t>
      </w:r>
    </w:p>
    <w:p w14:paraId="0409BB91" w14:textId="77777777" w:rsidR="00B82526" w:rsidRDefault="00000000">
      <w:pPr>
        <w:spacing w:after="200" w:line="360" w:lineRule="auto"/>
        <w:jc w:val="both"/>
      </w:pPr>
      <w:r>
        <w:t>It was crucial to first define ground truth of failure. The problem statement is that the machine is predicted to have an Unplanned Mechanical Failure in the following 24 observed operating hours:</w:t>
      </w:r>
    </w:p>
    <w:p w14:paraId="046D5B82" w14:textId="6198D5DC" w:rsidR="00B82526" w:rsidRDefault="00000000">
      <w:pPr>
        <w:spacing w:after="200" w:line="360" w:lineRule="auto"/>
        <w:jc w:val="both"/>
      </w:pPr>
      <w:r>
        <w:rPr>
          <w:i/>
          <w:iCs/>
        </w:rPr>
        <w:t xml:space="preserve">y(t) = 1 if a </w:t>
      </w:r>
      <w:r w:rsidR="00F222F3">
        <w:rPr>
          <w:i/>
          <w:iCs/>
        </w:rPr>
        <w:t>genuine, unplanned</w:t>
      </w:r>
      <w:r>
        <w:rPr>
          <w:i/>
          <w:iCs/>
        </w:rPr>
        <w:t xml:space="preserve"> breakdown occurs in the window [t+1, t+24] operating hours for that machine, else y(t) = 0.</w:t>
      </w:r>
    </w:p>
    <w:p w14:paraId="725C35AF" w14:textId="2DAFBF7D" w:rsidR="00B82526" w:rsidRDefault="00F222F3">
      <w:pPr>
        <w:pStyle w:val="Heading2"/>
      </w:pPr>
      <w:r>
        <w:t>2.2 Why 24 Operating Hours?</w:t>
      </w:r>
    </w:p>
    <w:p w14:paraId="568461E6" w14:textId="77777777" w:rsidR="00B82526" w:rsidRDefault="00000000">
      <w:pPr>
        <w:spacing w:after="200" w:line="360" w:lineRule="auto"/>
        <w:jc w:val="both"/>
      </w:pPr>
      <w:r>
        <w:t>I evaluated several candidate lookahead horizons:</w:t>
      </w:r>
    </w:p>
    <w:p w14:paraId="2FACA0FA" w14:textId="77777777" w:rsidR="00B82526" w:rsidRDefault="00000000">
      <w:pPr>
        <w:numPr>
          <w:ilvl w:val="0"/>
          <w:numId w:val="1"/>
        </w:numPr>
        <w:spacing w:before="240" w:after="240" w:line="360" w:lineRule="auto"/>
        <w:jc w:val="both"/>
      </w:pPr>
      <w:r>
        <w:t>6 Hours: Too little time. In open-cut mines, 6 hours' notice is too short for dispatchers to reallocate haul trucks, order spare parts, and organize maintenance tooling.</w:t>
      </w:r>
    </w:p>
    <w:p w14:paraId="0CA86A4B" w14:textId="368A2C9E" w:rsidR="00B82526" w:rsidRDefault="00000000">
      <w:pPr>
        <w:numPr>
          <w:ilvl w:val="0"/>
          <w:numId w:val="1"/>
        </w:numPr>
        <w:spacing w:before="240" w:after="240" w:line="360" w:lineRule="auto"/>
        <w:jc w:val="both"/>
      </w:pPr>
      <w:r>
        <w:t xml:space="preserve">12 Hours: Can be done within one shift only; however, becomes difficult if special parts need to be delivered from an inventory </w:t>
      </w:r>
      <w:r w:rsidR="00F222F3">
        <w:t>centre</w:t>
      </w:r>
      <w:r>
        <w:t>.</w:t>
      </w:r>
    </w:p>
    <w:p w14:paraId="3402800F" w14:textId="1C842230" w:rsidR="00B82526" w:rsidRDefault="00000000">
      <w:pPr>
        <w:numPr>
          <w:ilvl w:val="0"/>
          <w:numId w:val="1"/>
        </w:numPr>
        <w:spacing w:before="240" w:after="240" w:line="360" w:lineRule="auto"/>
        <w:jc w:val="both"/>
      </w:pPr>
      <w:r>
        <w:t xml:space="preserve">24 Hours (the </w:t>
      </w:r>
      <w:proofErr w:type="gramStart"/>
      <w:r>
        <w:t>time period</w:t>
      </w:r>
      <w:proofErr w:type="gramEnd"/>
      <w:r>
        <w:t xml:space="preserve"> I chose): Ideal compromise. Covers shift changes and daily meetings. Provides the maintenance supervisor with enough time to plan for a preventive inspection of the equipment during its planned </w:t>
      </w:r>
      <w:r w:rsidR="00F222F3">
        <w:t>refuelling</w:t>
      </w:r>
      <w:r>
        <w:t>, shift change, or blasting pause without any pit down time.</w:t>
      </w:r>
    </w:p>
    <w:p w14:paraId="5EF79DDB" w14:textId="77777777" w:rsidR="00B82526" w:rsidRDefault="00000000">
      <w:pPr>
        <w:numPr>
          <w:ilvl w:val="0"/>
          <w:numId w:val="1"/>
        </w:numPr>
        <w:spacing w:before="240" w:after="240" w:line="360" w:lineRule="auto"/>
        <w:jc w:val="both"/>
      </w:pPr>
      <w:r>
        <w:t>48 to 72 Hours: Signal dilution. Telemetry from two to three days before equipment failure has low physical degradation dynamics and leads to a higher false alarm rate.</w:t>
      </w:r>
    </w:p>
    <w:p w14:paraId="5C6FD5AA" w14:textId="0A83422D" w:rsidR="00B82526" w:rsidRDefault="00F222F3">
      <w:pPr>
        <w:pStyle w:val="Heading2"/>
      </w:pPr>
      <w:r>
        <w:t>2.3 Distinguishing Ground Truth from OEM Thresholds</w:t>
      </w:r>
    </w:p>
    <w:p w14:paraId="4964C54E" w14:textId="77777777" w:rsidR="00B82526" w:rsidRDefault="00000000">
      <w:pPr>
        <w:spacing w:after="200" w:line="360" w:lineRule="auto"/>
        <w:jc w:val="both"/>
      </w:pPr>
      <w:r>
        <w:t>The dataset provides OEM warnings and critical thresholds. It is a typical mistake that threshold crossings are used as target values. I did not commit this mistake. Heavy dozers often operate in the hot regime under steep incline push loading conditions without any breakdowns. OEM threshold crossings are features that are specific for the domain and not targets. The only valid breakdowns in the event log where Category was equal to "Unplanned Failure" were treated as positive target values (y = 1). All other events were normal (y = 0).</w:t>
      </w:r>
    </w:p>
    <w:p w14:paraId="39F2266A" w14:textId="77777777" w:rsidR="00B82526" w:rsidRDefault="00000000">
      <w:pPr>
        <w:spacing w:after="200" w:line="360" w:lineRule="auto"/>
        <w:jc w:val="both"/>
      </w:pPr>
      <w:r>
        <w:t>As we have 48 hours of failures per 6,602 records, our positive class probability is 0.73 percent, which means a class imbalance ratio 1 to 137.</w:t>
      </w:r>
    </w:p>
    <w:p w14:paraId="19B88BA0" w14:textId="77777777" w:rsidR="00B82526" w:rsidRDefault="00B82526">
      <w:pPr>
        <w:spacing w:after="200" w:line="360" w:lineRule="auto"/>
        <w:jc w:val="both"/>
      </w:pPr>
    </w:p>
    <w:p w14:paraId="57D127CE" w14:textId="77777777" w:rsidR="00B82526" w:rsidRDefault="00000000">
      <w:pPr>
        <w:pStyle w:val="Heading1"/>
      </w:pPr>
      <w:r>
        <w:br w:type="page"/>
      </w:r>
    </w:p>
    <w:p w14:paraId="0DF0E9E6" w14:textId="77777777" w:rsidR="00B82526" w:rsidRDefault="00000000">
      <w:pPr>
        <w:pStyle w:val="Heading1"/>
      </w:pPr>
      <w:r>
        <w:t>3.  Exploratory Data Analysis and Data Science Diagnostics</w:t>
      </w:r>
    </w:p>
    <w:p w14:paraId="6E49CAC8" w14:textId="77777777" w:rsidR="00B82526" w:rsidRDefault="00000000">
      <w:pPr>
        <w:spacing w:after="200" w:line="360" w:lineRule="auto"/>
        <w:jc w:val="both"/>
      </w:pPr>
      <w:r>
        <w:t xml:space="preserve">I </w:t>
      </w:r>
      <w:proofErr w:type="spellStart"/>
      <w:r>
        <w:t>analyzed</w:t>
      </w:r>
      <w:proofErr w:type="spellEnd"/>
      <w:r>
        <w:t xml:space="preserve"> all 19 sensor channels across the fleet to understand baseline machine </w:t>
      </w:r>
      <w:proofErr w:type="spellStart"/>
      <w:r>
        <w:t>behavior</w:t>
      </w:r>
      <w:proofErr w:type="spellEnd"/>
      <w:r>
        <w:t>, sensor correlations, and physical degradation signatures.</w:t>
      </w:r>
    </w:p>
    <w:p w14:paraId="1FF55DA2" w14:textId="43C06ABF" w:rsidR="00B82526" w:rsidRDefault="00000000">
      <w:pPr>
        <w:pStyle w:val="Heading2"/>
      </w:pPr>
      <w:r>
        <w:t>3.1 Sensor Multicollinearity Analysis</w:t>
      </w:r>
    </w:p>
    <w:p w14:paraId="2315D6D0" w14:textId="77777777" w:rsidR="00B82526" w:rsidRDefault="00000000">
      <w:pPr>
        <w:spacing w:after="200" w:line="360" w:lineRule="auto"/>
        <w:jc w:val="both"/>
      </w:pPr>
      <w:r>
        <w:t>Plotting the full correlation matrix across telemetry channels revealed heavy linear dependencies among several sensor groups:</w:t>
      </w:r>
    </w:p>
    <w:p w14:paraId="17DE9D91" w14:textId="77777777" w:rsidR="00B82526" w:rsidRDefault="00000000">
      <w:pPr>
        <w:numPr>
          <w:ilvl w:val="0"/>
          <w:numId w:val="1"/>
        </w:numPr>
        <w:pBdr>
          <w:top w:val="nil"/>
          <w:left w:val="nil"/>
          <w:bottom w:val="nil"/>
          <w:right w:val="nil"/>
          <w:between w:val="nil"/>
        </w:pBdr>
        <w:spacing w:after="120" w:line="360" w:lineRule="auto"/>
        <w:jc w:val="both"/>
      </w:pPr>
      <w:r>
        <w:t>The temperatures of left and right exhaust banks (LB Front, LB Rear, RB Front, RB Rear) show high pairwise correlation, exceeding r &gt; 0.88.</w:t>
      </w:r>
    </w:p>
    <w:p w14:paraId="524F7966" w14:textId="77777777" w:rsidR="00B82526" w:rsidRDefault="00000000">
      <w:pPr>
        <w:numPr>
          <w:ilvl w:val="0"/>
          <w:numId w:val="1"/>
        </w:numPr>
        <w:pBdr>
          <w:top w:val="nil"/>
          <w:left w:val="nil"/>
          <w:bottom w:val="nil"/>
          <w:right w:val="nil"/>
          <w:between w:val="nil"/>
        </w:pBdr>
        <w:spacing w:after="120" w:line="360" w:lineRule="auto"/>
        <w:jc w:val="both"/>
      </w:pPr>
      <w:r>
        <w:t>Engine Speed Average and Engine Speed Maximum show an almost equivalent variance (r = 0.91).</w:t>
      </w:r>
    </w:p>
    <w:p w14:paraId="4DF120F6" w14:textId="77777777" w:rsidR="00B82526" w:rsidRDefault="00000000">
      <w:pPr>
        <w:numPr>
          <w:ilvl w:val="0"/>
          <w:numId w:val="1"/>
        </w:numPr>
        <w:pBdr>
          <w:top w:val="nil"/>
          <w:left w:val="nil"/>
          <w:bottom w:val="nil"/>
          <w:right w:val="nil"/>
          <w:between w:val="nil"/>
        </w:pBdr>
        <w:spacing w:after="120" w:line="360" w:lineRule="auto"/>
        <w:jc w:val="both"/>
      </w:pPr>
      <w:r>
        <w:t>The pressure of the front and rear hydraulic pumps changes linearly under load (r = 0.76).</w:t>
      </w:r>
    </w:p>
    <w:p w14:paraId="3DE9F534" w14:textId="1FC3E3A7" w:rsidR="002D0003" w:rsidRPr="002D0003" w:rsidRDefault="002D0003" w:rsidP="002D0003">
      <w:pPr>
        <w:pBdr>
          <w:top w:val="nil"/>
          <w:left w:val="nil"/>
          <w:bottom w:val="nil"/>
          <w:right w:val="nil"/>
          <w:between w:val="nil"/>
        </w:pBdr>
        <w:spacing w:after="120" w:line="360" w:lineRule="auto"/>
        <w:jc w:val="both"/>
        <w:rPr>
          <w:b/>
          <w:bCs/>
          <w:i/>
          <w:iCs/>
          <w:sz w:val="22"/>
          <w:szCs w:val="22"/>
        </w:rPr>
      </w:pPr>
      <w:r w:rsidRPr="002D0003">
        <w:rPr>
          <w:b/>
          <w:bCs/>
          <w:i/>
          <w:iCs/>
          <w:sz w:val="22"/>
          <w:szCs w:val="22"/>
        </w:rPr>
        <w:t>Table 1: Highly Correlated Sensor Pairs in Fleet Telemetry (|r| &gt; 0.75)</w:t>
      </w:r>
    </w:p>
    <w:tbl>
      <w:tblPr>
        <w:tblStyle w:val="TableGrid"/>
        <w:tblW w:w="0" w:type="auto"/>
        <w:jc w:val="center"/>
        <w:tblLook w:val="04A0" w:firstRow="1" w:lastRow="0" w:firstColumn="1" w:lastColumn="0" w:noHBand="0" w:noVBand="1"/>
      </w:tblPr>
      <w:tblGrid>
        <w:gridCol w:w="3055"/>
        <w:gridCol w:w="2790"/>
        <w:gridCol w:w="3330"/>
      </w:tblGrid>
      <w:tr w:rsidR="002D0003" w:rsidRPr="002D0003" w14:paraId="79A5C74F" w14:textId="77777777" w:rsidTr="002D0003">
        <w:trPr>
          <w:jc w:val="center"/>
        </w:trPr>
        <w:tc>
          <w:tcPr>
            <w:tcW w:w="3055" w:type="dxa"/>
            <w:hideMark/>
          </w:tcPr>
          <w:p w14:paraId="0B6DBC48" w14:textId="77777777" w:rsidR="002D0003" w:rsidRPr="002D0003" w:rsidRDefault="002D0003" w:rsidP="002D0003">
            <w:pPr>
              <w:spacing w:line="480" w:lineRule="auto"/>
              <w:rPr>
                <w:rFonts w:eastAsia="Times New Roman"/>
                <w:b/>
                <w:bCs/>
              </w:rPr>
            </w:pPr>
            <w:r w:rsidRPr="002D0003">
              <w:rPr>
                <w:rFonts w:eastAsia="Times New Roman"/>
                <w:b/>
                <w:bCs/>
              </w:rPr>
              <w:t>Feature 1</w:t>
            </w:r>
          </w:p>
        </w:tc>
        <w:tc>
          <w:tcPr>
            <w:tcW w:w="2790" w:type="dxa"/>
            <w:hideMark/>
          </w:tcPr>
          <w:p w14:paraId="0BDCD88C" w14:textId="77777777" w:rsidR="002D0003" w:rsidRPr="002D0003" w:rsidRDefault="002D0003" w:rsidP="002D0003">
            <w:pPr>
              <w:spacing w:line="480" w:lineRule="auto"/>
              <w:rPr>
                <w:rFonts w:eastAsia="Times New Roman"/>
                <w:b/>
                <w:bCs/>
              </w:rPr>
            </w:pPr>
            <w:r w:rsidRPr="002D0003">
              <w:rPr>
                <w:rFonts w:eastAsia="Times New Roman"/>
                <w:b/>
                <w:bCs/>
              </w:rPr>
              <w:t>Feature 2</w:t>
            </w:r>
          </w:p>
        </w:tc>
        <w:tc>
          <w:tcPr>
            <w:tcW w:w="3330" w:type="dxa"/>
            <w:hideMark/>
          </w:tcPr>
          <w:p w14:paraId="326C23CA" w14:textId="77777777" w:rsidR="002D0003" w:rsidRPr="002D0003" w:rsidRDefault="002D0003" w:rsidP="002D0003">
            <w:pPr>
              <w:spacing w:line="480" w:lineRule="auto"/>
              <w:jc w:val="center"/>
              <w:rPr>
                <w:rFonts w:eastAsia="Times New Roman"/>
                <w:b/>
                <w:bCs/>
              </w:rPr>
            </w:pPr>
            <w:r w:rsidRPr="002D0003">
              <w:rPr>
                <w:rFonts w:eastAsia="Times New Roman"/>
                <w:b/>
                <w:bCs/>
              </w:rPr>
              <w:t>Correlation (r)</w:t>
            </w:r>
          </w:p>
        </w:tc>
      </w:tr>
      <w:tr w:rsidR="002D0003" w:rsidRPr="002D0003" w14:paraId="2CC821B2" w14:textId="77777777" w:rsidTr="002D0003">
        <w:trPr>
          <w:jc w:val="center"/>
        </w:trPr>
        <w:tc>
          <w:tcPr>
            <w:tcW w:w="3055" w:type="dxa"/>
            <w:hideMark/>
          </w:tcPr>
          <w:p w14:paraId="67DC141D" w14:textId="77777777" w:rsidR="002D0003" w:rsidRPr="002D0003" w:rsidRDefault="002D0003" w:rsidP="002D0003">
            <w:pPr>
              <w:spacing w:line="480" w:lineRule="auto"/>
              <w:rPr>
                <w:rFonts w:eastAsia="Times New Roman"/>
              </w:rPr>
            </w:pPr>
            <w:r w:rsidRPr="002D0003">
              <w:rPr>
                <w:rFonts w:eastAsia="Times New Roman"/>
              </w:rPr>
              <w:t xml:space="preserve">Engine Speed </w:t>
            </w:r>
            <w:proofErr w:type="spellStart"/>
            <w:r w:rsidRPr="002D0003">
              <w:rPr>
                <w:rFonts w:eastAsia="Times New Roman"/>
              </w:rPr>
              <w:t>Avg</w:t>
            </w:r>
            <w:proofErr w:type="spellEnd"/>
          </w:p>
        </w:tc>
        <w:tc>
          <w:tcPr>
            <w:tcW w:w="2790" w:type="dxa"/>
            <w:hideMark/>
          </w:tcPr>
          <w:p w14:paraId="00FC8477" w14:textId="77777777" w:rsidR="002D0003" w:rsidRPr="002D0003" w:rsidRDefault="002D0003" w:rsidP="002D0003">
            <w:pPr>
              <w:spacing w:line="480" w:lineRule="auto"/>
              <w:rPr>
                <w:rFonts w:eastAsia="Times New Roman"/>
              </w:rPr>
            </w:pPr>
            <w:r w:rsidRPr="002D0003">
              <w:rPr>
                <w:rFonts w:eastAsia="Times New Roman"/>
              </w:rPr>
              <w:t>Engine Speed Max</w:t>
            </w:r>
          </w:p>
        </w:tc>
        <w:tc>
          <w:tcPr>
            <w:tcW w:w="3330" w:type="dxa"/>
            <w:hideMark/>
          </w:tcPr>
          <w:p w14:paraId="72727A3B" w14:textId="77777777" w:rsidR="002D0003" w:rsidRPr="002D0003" w:rsidRDefault="002D0003" w:rsidP="002D0003">
            <w:pPr>
              <w:spacing w:line="480" w:lineRule="auto"/>
              <w:jc w:val="center"/>
              <w:rPr>
                <w:rFonts w:eastAsia="Times New Roman"/>
              </w:rPr>
            </w:pPr>
            <w:r w:rsidRPr="002D0003">
              <w:rPr>
                <w:rFonts w:eastAsia="Times New Roman"/>
              </w:rPr>
              <w:t>0.9084</w:t>
            </w:r>
          </w:p>
        </w:tc>
      </w:tr>
      <w:tr w:rsidR="002D0003" w:rsidRPr="002D0003" w14:paraId="46FA4416" w14:textId="77777777" w:rsidTr="002D0003">
        <w:trPr>
          <w:jc w:val="center"/>
        </w:trPr>
        <w:tc>
          <w:tcPr>
            <w:tcW w:w="3055" w:type="dxa"/>
            <w:hideMark/>
          </w:tcPr>
          <w:p w14:paraId="14C17D36" w14:textId="77777777" w:rsidR="002D0003" w:rsidRPr="002D0003" w:rsidRDefault="002D0003" w:rsidP="002D0003">
            <w:pPr>
              <w:spacing w:line="480" w:lineRule="auto"/>
              <w:rPr>
                <w:rFonts w:eastAsia="Times New Roman"/>
              </w:rPr>
            </w:pPr>
            <w:r w:rsidRPr="002D0003">
              <w:rPr>
                <w:rFonts w:eastAsia="Times New Roman"/>
              </w:rPr>
              <w:t xml:space="preserve">LB Front </w:t>
            </w:r>
            <w:proofErr w:type="spellStart"/>
            <w:r w:rsidRPr="002D0003">
              <w:rPr>
                <w:rFonts w:eastAsia="Times New Roman"/>
              </w:rPr>
              <w:t>Exh</w:t>
            </w:r>
            <w:proofErr w:type="spellEnd"/>
            <w:r w:rsidRPr="002D0003">
              <w:rPr>
                <w:rFonts w:eastAsia="Times New Roman"/>
              </w:rPr>
              <w:t xml:space="preserve"> Temp</w:t>
            </w:r>
          </w:p>
        </w:tc>
        <w:tc>
          <w:tcPr>
            <w:tcW w:w="2790" w:type="dxa"/>
            <w:hideMark/>
          </w:tcPr>
          <w:p w14:paraId="5DED4866" w14:textId="77777777" w:rsidR="002D0003" w:rsidRPr="002D0003" w:rsidRDefault="002D0003" w:rsidP="002D0003">
            <w:pPr>
              <w:spacing w:line="480" w:lineRule="auto"/>
              <w:rPr>
                <w:rFonts w:eastAsia="Times New Roman"/>
              </w:rPr>
            </w:pPr>
            <w:r w:rsidRPr="002D0003">
              <w:rPr>
                <w:rFonts w:eastAsia="Times New Roman"/>
              </w:rPr>
              <w:t xml:space="preserve">LB Rear </w:t>
            </w:r>
            <w:proofErr w:type="spellStart"/>
            <w:r w:rsidRPr="002D0003">
              <w:rPr>
                <w:rFonts w:eastAsia="Times New Roman"/>
              </w:rPr>
              <w:t>Exh</w:t>
            </w:r>
            <w:proofErr w:type="spellEnd"/>
            <w:r w:rsidRPr="002D0003">
              <w:rPr>
                <w:rFonts w:eastAsia="Times New Roman"/>
              </w:rPr>
              <w:t xml:space="preserve"> Temp</w:t>
            </w:r>
          </w:p>
        </w:tc>
        <w:tc>
          <w:tcPr>
            <w:tcW w:w="3330" w:type="dxa"/>
            <w:hideMark/>
          </w:tcPr>
          <w:p w14:paraId="72FF4B57" w14:textId="77777777" w:rsidR="002D0003" w:rsidRPr="002D0003" w:rsidRDefault="002D0003" w:rsidP="002D0003">
            <w:pPr>
              <w:spacing w:line="480" w:lineRule="auto"/>
              <w:jc w:val="center"/>
              <w:rPr>
                <w:rFonts w:eastAsia="Times New Roman"/>
              </w:rPr>
            </w:pPr>
            <w:r w:rsidRPr="002D0003">
              <w:rPr>
                <w:rFonts w:eastAsia="Times New Roman"/>
              </w:rPr>
              <w:t>0.8872</w:t>
            </w:r>
          </w:p>
        </w:tc>
      </w:tr>
      <w:tr w:rsidR="002D0003" w:rsidRPr="002D0003" w14:paraId="0DC00873" w14:textId="77777777" w:rsidTr="002D0003">
        <w:trPr>
          <w:jc w:val="center"/>
        </w:trPr>
        <w:tc>
          <w:tcPr>
            <w:tcW w:w="3055" w:type="dxa"/>
            <w:hideMark/>
          </w:tcPr>
          <w:p w14:paraId="0A12E706" w14:textId="77777777" w:rsidR="002D0003" w:rsidRPr="002D0003" w:rsidRDefault="002D0003" w:rsidP="002D0003">
            <w:pPr>
              <w:spacing w:line="480" w:lineRule="auto"/>
              <w:rPr>
                <w:rFonts w:eastAsia="Times New Roman"/>
              </w:rPr>
            </w:pPr>
            <w:r w:rsidRPr="002D0003">
              <w:rPr>
                <w:rFonts w:eastAsia="Times New Roman"/>
              </w:rPr>
              <w:t xml:space="preserve">RB Front </w:t>
            </w:r>
            <w:proofErr w:type="spellStart"/>
            <w:r w:rsidRPr="002D0003">
              <w:rPr>
                <w:rFonts w:eastAsia="Times New Roman"/>
              </w:rPr>
              <w:t>Exh</w:t>
            </w:r>
            <w:proofErr w:type="spellEnd"/>
            <w:r w:rsidRPr="002D0003">
              <w:rPr>
                <w:rFonts w:eastAsia="Times New Roman"/>
              </w:rPr>
              <w:t xml:space="preserve"> Temp</w:t>
            </w:r>
          </w:p>
        </w:tc>
        <w:tc>
          <w:tcPr>
            <w:tcW w:w="2790" w:type="dxa"/>
            <w:hideMark/>
          </w:tcPr>
          <w:p w14:paraId="12357B4B" w14:textId="77777777" w:rsidR="002D0003" w:rsidRPr="002D0003" w:rsidRDefault="002D0003" w:rsidP="002D0003">
            <w:pPr>
              <w:spacing w:line="480" w:lineRule="auto"/>
              <w:rPr>
                <w:rFonts w:eastAsia="Times New Roman"/>
              </w:rPr>
            </w:pPr>
            <w:r w:rsidRPr="002D0003">
              <w:rPr>
                <w:rFonts w:eastAsia="Times New Roman"/>
              </w:rPr>
              <w:t xml:space="preserve">RB Rear </w:t>
            </w:r>
            <w:proofErr w:type="spellStart"/>
            <w:r w:rsidRPr="002D0003">
              <w:rPr>
                <w:rFonts w:eastAsia="Times New Roman"/>
              </w:rPr>
              <w:t>Exh</w:t>
            </w:r>
            <w:proofErr w:type="spellEnd"/>
            <w:r w:rsidRPr="002D0003">
              <w:rPr>
                <w:rFonts w:eastAsia="Times New Roman"/>
              </w:rPr>
              <w:t xml:space="preserve"> Temp</w:t>
            </w:r>
          </w:p>
        </w:tc>
        <w:tc>
          <w:tcPr>
            <w:tcW w:w="3330" w:type="dxa"/>
            <w:hideMark/>
          </w:tcPr>
          <w:p w14:paraId="28C7A2DF" w14:textId="77777777" w:rsidR="002D0003" w:rsidRPr="002D0003" w:rsidRDefault="002D0003" w:rsidP="002D0003">
            <w:pPr>
              <w:spacing w:line="480" w:lineRule="auto"/>
              <w:jc w:val="center"/>
              <w:rPr>
                <w:rFonts w:eastAsia="Times New Roman"/>
              </w:rPr>
            </w:pPr>
            <w:r w:rsidRPr="002D0003">
              <w:rPr>
                <w:rFonts w:eastAsia="Times New Roman"/>
              </w:rPr>
              <w:t>0.8814</w:t>
            </w:r>
          </w:p>
        </w:tc>
      </w:tr>
      <w:tr w:rsidR="002D0003" w:rsidRPr="002D0003" w14:paraId="20FBA96C" w14:textId="77777777" w:rsidTr="002D0003">
        <w:trPr>
          <w:jc w:val="center"/>
        </w:trPr>
        <w:tc>
          <w:tcPr>
            <w:tcW w:w="3055" w:type="dxa"/>
            <w:hideMark/>
          </w:tcPr>
          <w:p w14:paraId="1B10E98A" w14:textId="77777777" w:rsidR="002D0003" w:rsidRPr="002D0003" w:rsidRDefault="002D0003" w:rsidP="002D0003">
            <w:pPr>
              <w:spacing w:line="480" w:lineRule="auto"/>
              <w:rPr>
                <w:rFonts w:eastAsia="Times New Roman"/>
              </w:rPr>
            </w:pPr>
            <w:r w:rsidRPr="002D0003">
              <w:rPr>
                <w:rFonts w:eastAsia="Times New Roman"/>
              </w:rPr>
              <w:t xml:space="preserve">LB Front </w:t>
            </w:r>
            <w:proofErr w:type="spellStart"/>
            <w:r w:rsidRPr="002D0003">
              <w:rPr>
                <w:rFonts w:eastAsia="Times New Roman"/>
              </w:rPr>
              <w:t>Exh</w:t>
            </w:r>
            <w:proofErr w:type="spellEnd"/>
            <w:r w:rsidRPr="002D0003">
              <w:rPr>
                <w:rFonts w:eastAsia="Times New Roman"/>
              </w:rPr>
              <w:t xml:space="preserve"> Temp</w:t>
            </w:r>
          </w:p>
        </w:tc>
        <w:tc>
          <w:tcPr>
            <w:tcW w:w="2790" w:type="dxa"/>
            <w:hideMark/>
          </w:tcPr>
          <w:p w14:paraId="72DC0ABA" w14:textId="77777777" w:rsidR="002D0003" w:rsidRPr="002D0003" w:rsidRDefault="002D0003" w:rsidP="002D0003">
            <w:pPr>
              <w:spacing w:line="480" w:lineRule="auto"/>
              <w:rPr>
                <w:rFonts w:eastAsia="Times New Roman"/>
              </w:rPr>
            </w:pPr>
            <w:r w:rsidRPr="002D0003">
              <w:rPr>
                <w:rFonts w:eastAsia="Times New Roman"/>
              </w:rPr>
              <w:t xml:space="preserve">RB Front </w:t>
            </w:r>
            <w:proofErr w:type="spellStart"/>
            <w:r w:rsidRPr="002D0003">
              <w:rPr>
                <w:rFonts w:eastAsia="Times New Roman"/>
              </w:rPr>
              <w:t>Exh</w:t>
            </w:r>
            <w:proofErr w:type="spellEnd"/>
            <w:r w:rsidRPr="002D0003">
              <w:rPr>
                <w:rFonts w:eastAsia="Times New Roman"/>
              </w:rPr>
              <w:t xml:space="preserve"> Temp</w:t>
            </w:r>
          </w:p>
        </w:tc>
        <w:tc>
          <w:tcPr>
            <w:tcW w:w="3330" w:type="dxa"/>
            <w:hideMark/>
          </w:tcPr>
          <w:p w14:paraId="7E94793A" w14:textId="77777777" w:rsidR="002D0003" w:rsidRPr="002D0003" w:rsidRDefault="002D0003" w:rsidP="002D0003">
            <w:pPr>
              <w:spacing w:line="480" w:lineRule="auto"/>
              <w:jc w:val="center"/>
              <w:rPr>
                <w:rFonts w:eastAsia="Times New Roman"/>
              </w:rPr>
            </w:pPr>
            <w:r w:rsidRPr="002D0003">
              <w:rPr>
                <w:rFonts w:eastAsia="Times New Roman"/>
              </w:rPr>
              <w:t>0.8655</w:t>
            </w:r>
          </w:p>
        </w:tc>
      </w:tr>
      <w:tr w:rsidR="002D0003" w:rsidRPr="002D0003" w14:paraId="631CDD8C" w14:textId="77777777" w:rsidTr="002D0003">
        <w:trPr>
          <w:jc w:val="center"/>
        </w:trPr>
        <w:tc>
          <w:tcPr>
            <w:tcW w:w="3055" w:type="dxa"/>
            <w:hideMark/>
          </w:tcPr>
          <w:p w14:paraId="719F57BE" w14:textId="77777777" w:rsidR="002D0003" w:rsidRPr="002D0003" w:rsidRDefault="002D0003" w:rsidP="002D0003">
            <w:pPr>
              <w:spacing w:line="480" w:lineRule="auto"/>
              <w:rPr>
                <w:rFonts w:eastAsia="Times New Roman"/>
              </w:rPr>
            </w:pPr>
            <w:r w:rsidRPr="002D0003">
              <w:rPr>
                <w:rFonts w:eastAsia="Times New Roman"/>
              </w:rPr>
              <w:t xml:space="preserve">LB Rear </w:t>
            </w:r>
            <w:proofErr w:type="spellStart"/>
            <w:r w:rsidRPr="002D0003">
              <w:rPr>
                <w:rFonts w:eastAsia="Times New Roman"/>
              </w:rPr>
              <w:t>Exh</w:t>
            </w:r>
            <w:proofErr w:type="spellEnd"/>
            <w:r w:rsidRPr="002D0003">
              <w:rPr>
                <w:rFonts w:eastAsia="Times New Roman"/>
              </w:rPr>
              <w:t xml:space="preserve"> Temp</w:t>
            </w:r>
          </w:p>
        </w:tc>
        <w:tc>
          <w:tcPr>
            <w:tcW w:w="2790" w:type="dxa"/>
            <w:hideMark/>
          </w:tcPr>
          <w:p w14:paraId="08F6071E" w14:textId="77777777" w:rsidR="002D0003" w:rsidRPr="002D0003" w:rsidRDefault="002D0003" w:rsidP="002D0003">
            <w:pPr>
              <w:spacing w:line="480" w:lineRule="auto"/>
              <w:rPr>
                <w:rFonts w:eastAsia="Times New Roman"/>
              </w:rPr>
            </w:pPr>
            <w:r w:rsidRPr="002D0003">
              <w:rPr>
                <w:rFonts w:eastAsia="Times New Roman"/>
              </w:rPr>
              <w:t xml:space="preserve">RB Rear </w:t>
            </w:r>
            <w:proofErr w:type="spellStart"/>
            <w:r w:rsidRPr="002D0003">
              <w:rPr>
                <w:rFonts w:eastAsia="Times New Roman"/>
              </w:rPr>
              <w:t>Exh</w:t>
            </w:r>
            <w:proofErr w:type="spellEnd"/>
            <w:r w:rsidRPr="002D0003">
              <w:rPr>
                <w:rFonts w:eastAsia="Times New Roman"/>
              </w:rPr>
              <w:t xml:space="preserve"> Temp</w:t>
            </w:r>
          </w:p>
        </w:tc>
        <w:tc>
          <w:tcPr>
            <w:tcW w:w="3330" w:type="dxa"/>
            <w:hideMark/>
          </w:tcPr>
          <w:p w14:paraId="617BBD5F" w14:textId="77777777" w:rsidR="002D0003" w:rsidRPr="002D0003" w:rsidRDefault="002D0003" w:rsidP="002D0003">
            <w:pPr>
              <w:spacing w:line="480" w:lineRule="auto"/>
              <w:jc w:val="center"/>
              <w:rPr>
                <w:rFonts w:eastAsia="Times New Roman"/>
              </w:rPr>
            </w:pPr>
            <w:r w:rsidRPr="002D0003">
              <w:rPr>
                <w:rFonts w:eastAsia="Times New Roman"/>
              </w:rPr>
              <w:t>0.8540</w:t>
            </w:r>
          </w:p>
        </w:tc>
      </w:tr>
      <w:tr w:rsidR="002D0003" w:rsidRPr="002D0003" w14:paraId="133CC6F5" w14:textId="77777777" w:rsidTr="002D0003">
        <w:trPr>
          <w:jc w:val="center"/>
        </w:trPr>
        <w:tc>
          <w:tcPr>
            <w:tcW w:w="3055" w:type="dxa"/>
            <w:hideMark/>
          </w:tcPr>
          <w:p w14:paraId="656C1D3F" w14:textId="77777777" w:rsidR="002D0003" w:rsidRPr="002D0003" w:rsidRDefault="002D0003" w:rsidP="002D0003">
            <w:pPr>
              <w:spacing w:line="480" w:lineRule="auto"/>
              <w:rPr>
                <w:rFonts w:eastAsia="Times New Roman"/>
              </w:rPr>
            </w:pPr>
            <w:r w:rsidRPr="002D0003">
              <w:rPr>
                <w:rFonts w:eastAsia="Times New Roman"/>
              </w:rPr>
              <w:t>Front Pump Press Max</w:t>
            </w:r>
          </w:p>
        </w:tc>
        <w:tc>
          <w:tcPr>
            <w:tcW w:w="2790" w:type="dxa"/>
            <w:hideMark/>
          </w:tcPr>
          <w:p w14:paraId="7FAAEE79" w14:textId="77777777" w:rsidR="002D0003" w:rsidRPr="002D0003" w:rsidRDefault="002D0003" w:rsidP="002D0003">
            <w:pPr>
              <w:spacing w:line="480" w:lineRule="auto"/>
              <w:rPr>
                <w:rFonts w:eastAsia="Times New Roman"/>
              </w:rPr>
            </w:pPr>
            <w:r w:rsidRPr="002D0003">
              <w:rPr>
                <w:rFonts w:eastAsia="Times New Roman"/>
              </w:rPr>
              <w:t>Rear Pump Press Max</w:t>
            </w:r>
          </w:p>
        </w:tc>
        <w:tc>
          <w:tcPr>
            <w:tcW w:w="3330" w:type="dxa"/>
            <w:hideMark/>
          </w:tcPr>
          <w:p w14:paraId="5B8B8A12" w14:textId="77777777" w:rsidR="002D0003" w:rsidRPr="002D0003" w:rsidRDefault="002D0003" w:rsidP="002D0003">
            <w:pPr>
              <w:spacing w:line="480" w:lineRule="auto"/>
              <w:jc w:val="center"/>
              <w:rPr>
                <w:rFonts w:eastAsia="Times New Roman"/>
              </w:rPr>
            </w:pPr>
            <w:r w:rsidRPr="002D0003">
              <w:rPr>
                <w:rFonts w:eastAsia="Times New Roman"/>
              </w:rPr>
              <w:t>0.7632</w:t>
            </w:r>
          </w:p>
        </w:tc>
      </w:tr>
    </w:tbl>
    <w:p w14:paraId="053564DF" w14:textId="77777777" w:rsidR="00B82526" w:rsidRDefault="00000000">
      <w:pPr>
        <w:spacing w:before="300" w:after="100"/>
        <w:jc w:val="center"/>
      </w:pPr>
      <w:r>
        <w:rPr>
          <w:noProof/>
        </w:rPr>
        <w:drawing>
          <wp:inline distT="0" distB="0" distL="0" distR="0" wp14:anchorId="3F0A7265" wp14:editId="5A5C5D72">
            <wp:extent cx="6179820" cy="5013960"/>
            <wp:effectExtent l="19050" t="19050" r="11430" b="1524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6180546" cy="5014549"/>
                    </a:xfrm>
                    <a:prstGeom prst="rect">
                      <a:avLst/>
                    </a:prstGeom>
                    <a:ln>
                      <a:solidFill>
                        <a:schemeClr val="tx1"/>
                      </a:solidFill>
                    </a:ln>
                  </pic:spPr>
                </pic:pic>
              </a:graphicData>
            </a:graphic>
          </wp:inline>
        </w:drawing>
      </w:r>
    </w:p>
    <w:p w14:paraId="6C6B5FD4" w14:textId="77777777" w:rsidR="00B82526" w:rsidRDefault="00000000">
      <w:pPr>
        <w:spacing w:before="120" w:after="300"/>
        <w:jc w:val="center"/>
      </w:pPr>
      <w:r>
        <w:rPr>
          <w:b/>
          <w:bCs/>
          <w:sz w:val="22"/>
          <w:szCs w:val="22"/>
        </w:rPr>
        <w:t>Figure 2: Sensor Pearson Correlation Heatmap showing multicollinearity across exhaust, engine, and hydraulic channels</w:t>
      </w:r>
    </w:p>
    <w:p w14:paraId="6E483748" w14:textId="77777777" w:rsidR="00B82526" w:rsidRDefault="00000000">
      <w:pPr>
        <w:spacing w:before="300" w:after="100"/>
        <w:jc w:val="center"/>
      </w:pPr>
      <w:r>
        <w:rPr>
          <w:noProof/>
        </w:rPr>
        <w:drawing>
          <wp:inline distT="0" distB="0" distL="0" distR="0" wp14:anchorId="60955B15" wp14:editId="7639E53B">
            <wp:extent cx="6088380" cy="3162300"/>
            <wp:effectExtent l="19050" t="19050" r="26670" b="1905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6088380" cy="3162300"/>
                    </a:xfrm>
                    <a:prstGeom prst="rect">
                      <a:avLst/>
                    </a:prstGeom>
                    <a:ln>
                      <a:solidFill>
                        <a:schemeClr val="tx1"/>
                      </a:solidFill>
                    </a:ln>
                  </pic:spPr>
                </pic:pic>
              </a:graphicData>
            </a:graphic>
          </wp:inline>
        </w:drawing>
      </w:r>
    </w:p>
    <w:p w14:paraId="637DBB51" w14:textId="77777777" w:rsidR="00B82526" w:rsidRDefault="00000000">
      <w:pPr>
        <w:spacing w:before="120" w:after="300"/>
        <w:jc w:val="center"/>
      </w:pPr>
      <w:r>
        <w:rPr>
          <w:b/>
          <w:bCs/>
          <w:sz w:val="22"/>
          <w:szCs w:val="22"/>
        </w:rPr>
        <w:t>Figure 3: Hierarchical Feature Clustering Dendrogram grouping correlated physical sensor subsystems</w:t>
      </w:r>
    </w:p>
    <w:p w14:paraId="6987FD7F" w14:textId="77777777" w:rsidR="00B82526" w:rsidRDefault="00000000">
      <w:pPr>
        <w:spacing w:after="200" w:line="360" w:lineRule="auto"/>
        <w:jc w:val="both"/>
      </w:pPr>
      <w:r>
        <w:rPr>
          <w:b/>
          <w:bCs/>
        </w:rPr>
        <w:t xml:space="preserve">Takeaway on Multicollinearity: </w:t>
      </w:r>
      <w:r>
        <w:t>Multicollinearity leads to instability in coefficient estimation in linear models (unregularized logistic regression being one example). It emphasized the necessity of ensembles based on trees that greedily split based on single feature and deal with multicollinear covariate spaces quite naturally.</w:t>
      </w:r>
    </w:p>
    <w:p w14:paraId="2114E0A2" w14:textId="782109DA" w:rsidR="00B82526" w:rsidRDefault="00A87967">
      <w:pPr>
        <w:pStyle w:val="Heading2"/>
      </w:pPr>
      <w:r>
        <w:t>3.2 Transient Spikes versus True Degradation: The DZ-142 False Alarm</w:t>
      </w:r>
    </w:p>
    <w:p w14:paraId="38FA651E" w14:textId="77777777" w:rsidR="00B82526" w:rsidRDefault="00000000">
      <w:pPr>
        <w:spacing w:before="240" w:after="240" w:line="360" w:lineRule="auto"/>
        <w:jc w:val="both"/>
      </w:pPr>
      <w:r>
        <w:t xml:space="preserve">From the data on DZ-142 on 22 March, we can see that there was a transient spike that exceeded the OEM warning </w:t>
      </w:r>
      <w:proofErr w:type="gramStart"/>
      <w:r>
        <w:t>level, but</w:t>
      </w:r>
      <w:proofErr w:type="gramEnd"/>
      <w:r>
        <w:t xml:space="preserve"> then went back to the normal value within one hour without causing any hardware failures.</w:t>
      </w:r>
    </w:p>
    <w:p w14:paraId="79060790" w14:textId="77777777" w:rsidR="00B82526" w:rsidRDefault="00000000">
      <w:pPr>
        <w:spacing w:before="240" w:after="240" w:line="360" w:lineRule="auto"/>
        <w:jc w:val="both"/>
      </w:pPr>
      <w:r>
        <w:t>For DZ-127 (hydraulic system failure) and DZ-118 (engine failure) cases, however, we observed not a one-off spike, but multi-day growth with high volatility in 24-36 hours before hardware malfunction.</w:t>
      </w:r>
    </w:p>
    <w:p w14:paraId="775D0D14" w14:textId="77777777" w:rsidR="00B82526" w:rsidRDefault="00000000">
      <w:pPr>
        <w:spacing w:before="300" w:after="100"/>
        <w:jc w:val="center"/>
      </w:pPr>
      <w:r>
        <w:rPr>
          <w:noProof/>
        </w:rPr>
        <w:drawing>
          <wp:inline distT="0" distB="0" distL="0" distR="0" wp14:anchorId="4FD410E7" wp14:editId="278CEE66">
            <wp:extent cx="6012180" cy="2697480"/>
            <wp:effectExtent l="19050" t="19050" r="26670" b="2667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6012519" cy="2697632"/>
                    </a:xfrm>
                    <a:prstGeom prst="rect">
                      <a:avLst/>
                    </a:prstGeom>
                    <a:ln>
                      <a:solidFill>
                        <a:schemeClr val="tx1"/>
                      </a:solidFill>
                    </a:ln>
                  </pic:spPr>
                </pic:pic>
              </a:graphicData>
            </a:graphic>
          </wp:inline>
        </w:drawing>
      </w:r>
    </w:p>
    <w:p w14:paraId="47CBBC84" w14:textId="77777777" w:rsidR="00B82526" w:rsidRDefault="00000000">
      <w:pPr>
        <w:spacing w:before="120" w:after="300"/>
        <w:jc w:val="center"/>
      </w:pPr>
      <w:r>
        <w:rPr>
          <w:b/>
          <w:bCs/>
          <w:sz w:val="22"/>
          <w:szCs w:val="22"/>
        </w:rPr>
        <w:t>Figure 4: Diagnostic Comparison between the DZ-142 Isolated False Alarm Spike and the DZ-118 Sustained Engine Degradation Trend</w:t>
      </w:r>
    </w:p>
    <w:p w14:paraId="6E0BDE5B" w14:textId="77777777" w:rsidR="00B82526" w:rsidRDefault="00000000">
      <w:pPr>
        <w:spacing w:after="200" w:line="360" w:lineRule="auto"/>
        <w:jc w:val="both"/>
      </w:pPr>
      <w:r>
        <w:t>This diagnostic test revealed that instantaneous sensors readings cannot be relied on for predictive maintenance. We need to develop features that will include rate of change and persistence over hours.</w:t>
      </w:r>
    </w:p>
    <w:p w14:paraId="585E310F" w14:textId="77777777" w:rsidR="00B82526" w:rsidRDefault="00000000">
      <w:pPr>
        <w:pStyle w:val="Heading1"/>
      </w:pPr>
      <w:r>
        <w:br w:type="page"/>
      </w:r>
    </w:p>
    <w:p w14:paraId="308CEAC9" w14:textId="77777777" w:rsidR="00B82526" w:rsidRDefault="00000000">
      <w:pPr>
        <w:pStyle w:val="Heading1"/>
      </w:pPr>
      <w:r>
        <w:t>4.  Time-Series Leakage Prevention and Validation Strategy</w:t>
      </w:r>
    </w:p>
    <w:p w14:paraId="2917EECC" w14:textId="77777777" w:rsidR="00B82526" w:rsidRDefault="00000000">
      <w:pPr>
        <w:spacing w:after="200" w:line="360" w:lineRule="auto"/>
        <w:jc w:val="both"/>
      </w:pPr>
      <w:r>
        <w:t>In multi-machine time-series data, leakage can easily produce deceptively optimistic results that fail in production. I enforced four strict leakage rules:</w:t>
      </w:r>
    </w:p>
    <w:p w14:paraId="1630D06B" w14:textId="77777777" w:rsidR="00B82526" w:rsidRDefault="00000000">
      <w:pPr>
        <w:numPr>
          <w:ilvl w:val="0"/>
          <w:numId w:val="2"/>
        </w:numPr>
        <w:spacing w:after="120" w:line="360" w:lineRule="auto"/>
        <w:jc w:val="both"/>
      </w:pPr>
      <w:r>
        <w:t>Indexing Operating Time SMR: Telemetry data is indexed using Service Meter Reading operating hours instead of timestamp data, thus preserving machine operating times.</w:t>
      </w:r>
    </w:p>
    <w:p w14:paraId="69B85736" w14:textId="77777777" w:rsidR="00B82526" w:rsidRDefault="00000000">
      <w:pPr>
        <w:numPr>
          <w:ilvl w:val="0"/>
          <w:numId w:val="2"/>
        </w:numPr>
        <w:spacing w:after="120" w:line="360" w:lineRule="auto"/>
        <w:jc w:val="both"/>
      </w:pPr>
      <w:r>
        <w:t>Machine Isolation: In all rolling windows, slopes, deltas, and lags, there is machine isolation in that signals are not combined for different dozers.</w:t>
      </w:r>
    </w:p>
    <w:p w14:paraId="5FF69140" w14:textId="77777777" w:rsidR="00B82526" w:rsidRDefault="00000000">
      <w:pPr>
        <w:numPr>
          <w:ilvl w:val="0"/>
          <w:numId w:val="2"/>
        </w:numPr>
        <w:spacing w:after="120" w:line="360" w:lineRule="auto"/>
        <w:jc w:val="both"/>
      </w:pPr>
      <w:proofErr w:type="gramStart"/>
      <w:r>
        <w:t>Shift(</w:t>
      </w:r>
      <w:proofErr w:type="gramEnd"/>
      <w:r>
        <w:t xml:space="preserve">1) Requirement: In calculating rolling averages, standard deviations, and historical breach counters at time t, the window requires a </w:t>
      </w:r>
      <w:proofErr w:type="gramStart"/>
      <w:r>
        <w:t>shift(</w:t>
      </w:r>
      <w:proofErr w:type="gramEnd"/>
      <w:r>
        <w:t>1) lag. The observation at time t is completely excluded from the historical summary statistics calculated at time t.</w:t>
      </w:r>
    </w:p>
    <w:p w14:paraId="112F2DE7" w14:textId="77777777" w:rsidR="00B82526" w:rsidRDefault="00000000">
      <w:pPr>
        <w:numPr>
          <w:ilvl w:val="0"/>
          <w:numId w:val="2"/>
        </w:numPr>
        <w:spacing w:after="120" w:line="360" w:lineRule="auto"/>
        <w:jc w:val="both"/>
      </w:pPr>
      <w:r>
        <w:t>Event-Centric Chronological Cross-Validation: There can be no random partitioning of training/test sets. Models are always trained on past chronologically ordered data and tested going forward on the future unseen failures. For example, Fold 2 is trained on data until April (and DZ-127 failure), while out-of-fold testing occurs on unseen future DZ-118 failure in May.</w:t>
      </w:r>
    </w:p>
    <w:p w14:paraId="5A00AEBD" w14:textId="77777777" w:rsidR="00B82526" w:rsidRDefault="00000000">
      <w:pPr>
        <w:pStyle w:val="Heading1"/>
      </w:pPr>
      <w:r>
        <w:t>5.  Feature Engineering (407 Covariates)</w:t>
      </w:r>
    </w:p>
    <w:p w14:paraId="673C6EDC" w14:textId="77777777" w:rsidR="00B82526" w:rsidRDefault="00000000">
      <w:pPr>
        <w:spacing w:after="200" w:line="360" w:lineRule="auto"/>
        <w:jc w:val="both"/>
      </w:pPr>
      <w:r>
        <w:t>I constructed 407 engineered features across 19 sensor channels to capture physical wear:</w:t>
      </w:r>
    </w:p>
    <w:p w14:paraId="1475E4D6" w14:textId="77777777" w:rsidR="00B82526" w:rsidRDefault="00000000">
      <w:pPr>
        <w:numPr>
          <w:ilvl w:val="0"/>
          <w:numId w:val="1"/>
        </w:numPr>
        <w:spacing w:before="240" w:after="240" w:line="360" w:lineRule="auto"/>
        <w:jc w:val="both"/>
      </w:pPr>
      <w:r>
        <w:t>Sensor Trajectory Slopes (Delta Sensor / Delta t): Measured over 6hr, 24hr, and 72hr periods of operation to quantify rate of climb for thermal and pressure.</w:t>
      </w:r>
    </w:p>
    <w:p w14:paraId="09D8A356" w14:textId="77777777" w:rsidR="00B82526" w:rsidRDefault="00000000">
      <w:pPr>
        <w:numPr>
          <w:ilvl w:val="0"/>
          <w:numId w:val="1"/>
        </w:numPr>
        <w:spacing w:before="240" w:after="240" w:line="360" w:lineRule="auto"/>
        <w:jc w:val="both"/>
      </w:pPr>
      <w:r>
        <w:t>Moving Volatility (Rolling Standard Deviation): Measured over 6hr, 24hr, and 72hr periods to quantify erratic pressure fluctuations before component seizing.</w:t>
      </w:r>
    </w:p>
    <w:p w14:paraId="56FED98E" w14:textId="77777777" w:rsidR="00B82526" w:rsidRDefault="00000000">
      <w:pPr>
        <w:numPr>
          <w:ilvl w:val="0"/>
          <w:numId w:val="1"/>
        </w:numPr>
        <w:spacing w:before="240" w:after="240" w:line="360" w:lineRule="auto"/>
        <w:jc w:val="both"/>
      </w:pPr>
      <w:r>
        <w:t>Stress Counters: Rolling count of hours above OEM warnings and critical limits over 6hr, 24hr, and 72hr periods.</w:t>
      </w:r>
    </w:p>
    <w:p w14:paraId="09ED0916" w14:textId="77777777" w:rsidR="00B82526" w:rsidRDefault="00000000">
      <w:pPr>
        <w:numPr>
          <w:ilvl w:val="0"/>
          <w:numId w:val="1"/>
        </w:numPr>
        <w:spacing w:before="240" w:after="240" w:line="360" w:lineRule="auto"/>
        <w:jc w:val="both"/>
      </w:pPr>
      <w:r>
        <w:t>Lagged Deltas: Sign of difference between current reading and reading 1hr, 2hr, and 3hr back to account for abrupt step changes under loading.</w:t>
      </w:r>
    </w:p>
    <w:p w14:paraId="65824511" w14:textId="77777777" w:rsidR="00B82526" w:rsidRDefault="00000000">
      <w:pPr>
        <w:pStyle w:val="Heading1"/>
      </w:pPr>
      <w:r>
        <w:t>6.  Model Benchmarking and Out-of-Fold Results</w:t>
      </w:r>
    </w:p>
    <w:p w14:paraId="51A0803B" w14:textId="77777777" w:rsidR="00B82526" w:rsidRDefault="00000000">
      <w:pPr>
        <w:spacing w:after="200" w:line="360" w:lineRule="auto"/>
        <w:jc w:val="both"/>
      </w:pPr>
      <w:r>
        <w:t xml:space="preserve">I benchmarked three candidate models representing different </w:t>
      </w:r>
      <w:proofErr w:type="spellStart"/>
      <w:r>
        <w:t>modeling</w:t>
      </w:r>
      <w:proofErr w:type="spellEnd"/>
      <w:r>
        <w:t xml:space="preserve"> paradigms:</w:t>
      </w:r>
    </w:p>
    <w:p w14:paraId="15643639" w14:textId="77777777" w:rsidR="00B82526" w:rsidRDefault="00000000">
      <w:pPr>
        <w:numPr>
          <w:ilvl w:val="0"/>
          <w:numId w:val="3"/>
        </w:numPr>
        <w:pBdr>
          <w:top w:val="nil"/>
          <w:left w:val="nil"/>
          <w:bottom w:val="nil"/>
          <w:right w:val="nil"/>
          <w:between w:val="nil"/>
        </w:pBdr>
        <w:spacing w:after="120" w:line="360" w:lineRule="auto"/>
        <w:jc w:val="both"/>
      </w:pPr>
      <w:r>
        <w:rPr>
          <w:color w:val="000000"/>
        </w:rPr>
        <w:t>Logistic Regression (L2 regularized): Linear, interpretable baseline.</w:t>
      </w:r>
    </w:p>
    <w:p w14:paraId="4080D391" w14:textId="77777777" w:rsidR="00B82526" w:rsidRDefault="00000000">
      <w:pPr>
        <w:numPr>
          <w:ilvl w:val="0"/>
          <w:numId w:val="3"/>
        </w:numPr>
        <w:pBdr>
          <w:top w:val="nil"/>
          <w:left w:val="nil"/>
          <w:bottom w:val="nil"/>
          <w:right w:val="nil"/>
          <w:between w:val="nil"/>
        </w:pBdr>
        <w:spacing w:after="120" w:line="360" w:lineRule="auto"/>
        <w:jc w:val="both"/>
      </w:pPr>
      <w:r>
        <w:rPr>
          <w:color w:val="000000"/>
        </w:rPr>
        <w:t>Random Forest: Non-linear bagging ensemble.</w:t>
      </w:r>
    </w:p>
    <w:p w14:paraId="2941379F" w14:textId="77777777" w:rsidR="00B82526" w:rsidRDefault="00000000">
      <w:pPr>
        <w:numPr>
          <w:ilvl w:val="0"/>
          <w:numId w:val="3"/>
        </w:numPr>
        <w:pBdr>
          <w:top w:val="nil"/>
          <w:left w:val="nil"/>
          <w:bottom w:val="nil"/>
          <w:right w:val="nil"/>
          <w:between w:val="nil"/>
        </w:pBdr>
        <w:spacing w:after="120" w:line="360" w:lineRule="auto"/>
        <w:jc w:val="both"/>
      </w:pPr>
      <w:proofErr w:type="spellStart"/>
      <w:r>
        <w:rPr>
          <w:color w:val="000000"/>
        </w:rPr>
        <w:t>HistGradientBoosting</w:t>
      </w:r>
      <w:proofErr w:type="spellEnd"/>
      <w:r>
        <w:rPr>
          <w:color w:val="000000"/>
        </w:rPr>
        <w:t>: Non-linear gradient boosted tree ensemble.</w:t>
      </w:r>
    </w:p>
    <w:p w14:paraId="45FF8F5A" w14:textId="77777777" w:rsidR="00B82526" w:rsidRDefault="00000000">
      <w:pPr>
        <w:spacing w:after="200" w:line="360" w:lineRule="auto"/>
        <w:jc w:val="both"/>
      </w:pPr>
      <w:r>
        <w:t>All preprocessing transformers (median imputation and feature scaling) were encapsulated inside Scikit-learn pipelines and fitted strictly on training folds.</w:t>
      </w:r>
    </w:p>
    <w:p w14:paraId="782B3932" w14:textId="2B6B9041" w:rsidR="00B82526" w:rsidRDefault="00A87967">
      <w:pPr>
        <w:pStyle w:val="Heading2"/>
      </w:pPr>
      <w:r>
        <w:t>6.1 Chronological Out-of-Fold Test Results (Evaluating Unseen Failure on DZ-118)</w:t>
      </w:r>
    </w:p>
    <w:p w14:paraId="07425C6C" w14:textId="4B39CF4F" w:rsidR="002D0003" w:rsidRPr="002D0003" w:rsidRDefault="002D0003" w:rsidP="002D0003">
      <w:pPr>
        <w:spacing w:before="240" w:line="360" w:lineRule="auto"/>
        <w:rPr>
          <w:b/>
          <w:bCs/>
          <w:i/>
          <w:iCs/>
          <w:sz w:val="22"/>
          <w:szCs w:val="22"/>
        </w:rPr>
      </w:pPr>
      <w:r w:rsidRPr="002D0003">
        <w:rPr>
          <w:b/>
          <w:bCs/>
          <w:i/>
          <w:iCs/>
          <w:sz w:val="22"/>
          <w:szCs w:val="22"/>
        </w:rPr>
        <w:t>Table 2: Candidate Model Performance Metrics across Chronological Validation Folds</w:t>
      </w:r>
    </w:p>
    <w:tbl>
      <w:tblPr>
        <w:tblStyle w:val="TableGrid"/>
        <w:tblW w:w="0" w:type="auto"/>
        <w:tblLook w:val="04A0" w:firstRow="1" w:lastRow="0" w:firstColumn="1" w:lastColumn="0" w:noHBand="0" w:noVBand="1"/>
      </w:tblPr>
      <w:tblGrid>
        <w:gridCol w:w="2352"/>
        <w:gridCol w:w="1293"/>
        <w:gridCol w:w="893"/>
        <w:gridCol w:w="1491"/>
        <w:gridCol w:w="1090"/>
        <w:gridCol w:w="1179"/>
        <w:gridCol w:w="1052"/>
      </w:tblGrid>
      <w:tr w:rsidR="00E41C66" w:rsidRPr="002D0003" w14:paraId="02737CE5" w14:textId="77777777" w:rsidTr="00E41C66">
        <w:tc>
          <w:tcPr>
            <w:tcW w:w="0" w:type="auto"/>
            <w:hideMark/>
          </w:tcPr>
          <w:p w14:paraId="39F2E044" w14:textId="77777777" w:rsidR="00E41C66" w:rsidRPr="002D0003" w:rsidRDefault="00E41C66" w:rsidP="00E41C66">
            <w:pPr>
              <w:rPr>
                <w:rFonts w:ascii="Segoe UI" w:eastAsia="Times New Roman" w:hAnsi="Segoe UI" w:cs="Segoe UI"/>
                <w:b/>
                <w:bCs/>
                <w:sz w:val="21"/>
                <w:szCs w:val="21"/>
              </w:rPr>
            </w:pPr>
            <w:r w:rsidRPr="002D0003">
              <w:rPr>
                <w:rFonts w:ascii="Segoe UI" w:eastAsia="Times New Roman" w:hAnsi="Segoe UI" w:cs="Segoe UI"/>
                <w:b/>
                <w:bCs/>
                <w:sz w:val="21"/>
                <w:szCs w:val="21"/>
              </w:rPr>
              <w:t>Model Architecture</w:t>
            </w:r>
          </w:p>
        </w:tc>
        <w:tc>
          <w:tcPr>
            <w:tcW w:w="0" w:type="auto"/>
            <w:hideMark/>
          </w:tcPr>
          <w:p w14:paraId="35926453" w14:textId="77777777" w:rsidR="00E41C66" w:rsidRPr="002D0003" w:rsidRDefault="00E41C66" w:rsidP="00E41C66">
            <w:pPr>
              <w:jc w:val="center"/>
              <w:rPr>
                <w:rFonts w:ascii="Segoe UI" w:eastAsia="Times New Roman" w:hAnsi="Segoe UI" w:cs="Segoe UI"/>
                <w:b/>
                <w:bCs/>
                <w:sz w:val="21"/>
                <w:szCs w:val="21"/>
              </w:rPr>
            </w:pPr>
            <w:r w:rsidRPr="002D0003">
              <w:rPr>
                <w:rFonts w:ascii="Segoe UI" w:eastAsia="Times New Roman" w:hAnsi="Segoe UI" w:cs="Segoe UI"/>
                <w:b/>
                <w:bCs/>
                <w:sz w:val="21"/>
                <w:szCs w:val="21"/>
              </w:rPr>
              <w:t>PR-AUC (Average Precision)</w:t>
            </w:r>
          </w:p>
        </w:tc>
        <w:tc>
          <w:tcPr>
            <w:tcW w:w="0" w:type="auto"/>
            <w:hideMark/>
          </w:tcPr>
          <w:p w14:paraId="4C1F92E7" w14:textId="77777777" w:rsidR="00E41C66" w:rsidRPr="002D0003" w:rsidRDefault="00E41C66" w:rsidP="00E41C66">
            <w:pPr>
              <w:jc w:val="center"/>
              <w:rPr>
                <w:rFonts w:ascii="Segoe UI" w:eastAsia="Times New Roman" w:hAnsi="Segoe UI" w:cs="Segoe UI"/>
                <w:b/>
                <w:bCs/>
                <w:sz w:val="21"/>
                <w:szCs w:val="21"/>
              </w:rPr>
            </w:pPr>
            <w:r w:rsidRPr="002D0003">
              <w:rPr>
                <w:rFonts w:ascii="Segoe UI" w:eastAsia="Times New Roman" w:hAnsi="Segoe UI" w:cs="Segoe UI"/>
                <w:b/>
                <w:bCs/>
                <w:sz w:val="21"/>
                <w:szCs w:val="21"/>
              </w:rPr>
              <w:t>ROC-AUC</w:t>
            </w:r>
          </w:p>
        </w:tc>
        <w:tc>
          <w:tcPr>
            <w:tcW w:w="0" w:type="auto"/>
            <w:hideMark/>
          </w:tcPr>
          <w:p w14:paraId="72537E15" w14:textId="22851212" w:rsidR="00E41C66" w:rsidRPr="002D0003" w:rsidRDefault="00E41C66" w:rsidP="00E41C66">
            <w:pPr>
              <w:jc w:val="center"/>
              <w:rPr>
                <w:rFonts w:ascii="Segoe UI" w:eastAsia="Times New Roman" w:hAnsi="Segoe UI" w:cs="Segoe UI"/>
                <w:b/>
                <w:bCs/>
                <w:sz w:val="21"/>
                <w:szCs w:val="21"/>
              </w:rPr>
            </w:pPr>
            <w:r w:rsidRPr="002D0003">
              <w:rPr>
                <w:rFonts w:ascii="Segoe UI" w:eastAsia="Times New Roman" w:hAnsi="Segoe UI" w:cs="Segoe UI"/>
                <w:b/>
                <w:bCs/>
                <w:sz w:val="21"/>
                <w:szCs w:val="21"/>
              </w:rPr>
              <w:t>Operational Recall (</w:t>
            </w:r>
            <m:oMath>
              <m:r>
                <m:rPr>
                  <m:sty m:val="bi"/>
                </m:rPr>
                <w:rPr>
                  <w:rFonts w:ascii="Cambria Math" w:eastAsia="Times New Roman" w:hAnsi="Cambria Math" w:cs="Times New Roman"/>
                </w:rPr>
                <m:t>τ=0.10</m:t>
              </m:r>
            </m:oMath>
            <w:r w:rsidRPr="002D0003">
              <w:rPr>
                <w:rFonts w:ascii="Segoe UI" w:eastAsia="Times New Roman" w:hAnsi="Segoe UI" w:cs="Segoe UI"/>
                <w:b/>
                <w:bCs/>
                <w:sz w:val="21"/>
                <w:szCs w:val="21"/>
              </w:rPr>
              <w:t>)</w:t>
            </w:r>
          </w:p>
        </w:tc>
        <w:tc>
          <w:tcPr>
            <w:tcW w:w="0" w:type="auto"/>
            <w:hideMark/>
          </w:tcPr>
          <w:p w14:paraId="0818E77D" w14:textId="77777777" w:rsidR="00E41C66" w:rsidRPr="002D0003" w:rsidRDefault="00E41C66" w:rsidP="00E41C66">
            <w:pPr>
              <w:jc w:val="center"/>
              <w:rPr>
                <w:rFonts w:ascii="Segoe UI" w:eastAsia="Times New Roman" w:hAnsi="Segoe UI" w:cs="Segoe UI"/>
                <w:b/>
                <w:bCs/>
                <w:sz w:val="21"/>
                <w:szCs w:val="21"/>
              </w:rPr>
            </w:pPr>
            <w:r w:rsidRPr="002D0003">
              <w:rPr>
                <w:rFonts w:ascii="Segoe UI" w:eastAsia="Times New Roman" w:hAnsi="Segoe UI" w:cs="Segoe UI"/>
                <w:b/>
                <w:bCs/>
                <w:sz w:val="21"/>
                <w:szCs w:val="21"/>
              </w:rPr>
              <w:t>False Positive Rate (FPR)</w:t>
            </w:r>
          </w:p>
        </w:tc>
        <w:tc>
          <w:tcPr>
            <w:tcW w:w="0" w:type="auto"/>
            <w:hideMark/>
          </w:tcPr>
          <w:p w14:paraId="3E7563A1" w14:textId="572965B0" w:rsidR="00E41C66" w:rsidRPr="002D0003" w:rsidRDefault="00E41C66" w:rsidP="00E41C66">
            <w:pPr>
              <w:jc w:val="center"/>
              <w:rPr>
                <w:rFonts w:ascii="Segoe UI" w:eastAsia="Times New Roman" w:hAnsi="Segoe UI" w:cs="Segoe UI"/>
                <w:b/>
                <w:bCs/>
                <w:sz w:val="21"/>
                <w:szCs w:val="21"/>
              </w:rPr>
            </w:pPr>
            <w:r w:rsidRPr="002D0003">
              <w:rPr>
                <w:rFonts w:ascii="Segoe UI" w:eastAsia="Times New Roman" w:hAnsi="Segoe UI" w:cs="Segoe UI"/>
                <w:b/>
                <w:bCs/>
                <w:sz w:val="21"/>
                <w:szCs w:val="21"/>
              </w:rPr>
              <w:t>Precision (</w:t>
            </w:r>
            <m:oMath>
              <m:r>
                <m:rPr>
                  <m:sty m:val="bi"/>
                </m:rPr>
                <w:rPr>
                  <w:rFonts w:ascii="Cambria Math" w:eastAsia="Times New Roman" w:hAnsi="Cambria Math" w:cs="Times New Roman"/>
                </w:rPr>
                <m:t>τ=0.10</m:t>
              </m:r>
            </m:oMath>
            <w:r w:rsidRPr="002D0003">
              <w:rPr>
                <w:rFonts w:ascii="Segoe UI" w:eastAsia="Times New Roman" w:hAnsi="Segoe UI" w:cs="Segoe UI"/>
                <w:b/>
                <w:bCs/>
                <w:sz w:val="21"/>
                <w:szCs w:val="21"/>
              </w:rPr>
              <w:t>)</w:t>
            </w:r>
          </w:p>
        </w:tc>
        <w:tc>
          <w:tcPr>
            <w:tcW w:w="0" w:type="auto"/>
            <w:hideMark/>
          </w:tcPr>
          <w:p w14:paraId="387BDA53" w14:textId="3CE8A6AB" w:rsidR="00E41C66" w:rsidRPr="002D0003" w:rsidRDefault="00E41C66" w:rsidP="00E41C66">
            <w:pPr>
              <w:jc w:val="center"/>
              <w:rPr>
                <w:rFonts w:ascii="Segoe UI" w:eastAsia="Times New Roman" w:hAnsi="Segoe UI" w:cs="Segoe UI"/>
                <w:b/>
                <w:bCs/>
                <w:sz w:val="21"/>
                <w:szCs w:val="21"/>
              </w:rPr>
            </w:pPr>
            <w:r w:rsidRPr="002D0003">
              <w:rPr>
                <w:rFonts w:ascii="Segoe UI" w:eastAsia="Times New Roman" w:hAnsi="Segoe UI" w:cs="Segoe UI"/>
                <w:b/>
                <w:bCs/>
                <w:sz w:val="21"/>
                <w:szCs w:val="21"/>
              </w:rPr>
              <w:t>Default Recall (</w:t>
            </w:r>
            <m:oMath>
              <m:r>
                <m:rPr>
                  <m:sty m:val="bi"/>
                </m:rPr>
                <w:rPr>
                  <w:rFonts w:ascii="Cambria Math" w:eastAsia="Times New Roman" w:hAnsi="Cambria Math" w:cs="Times New Roman"/>
                </w:rPr>
                <m:t>τ=0.50</m:t>
              </m:r>
            </m:oMath>
            <w:r w:rsidRPr="002D0003">
              <w:rPr>
                <w:rFonts w:ascii="Segoe UI" w:eastAsia="Times New Roman" w:hAnsi="Segoe UI" w:cs="Segoe UI"/>
                <w:b/>
                <w:bCs/>
                <w:sz w:val="21"/>
                <w:szCs w:val="21"/>
              </w:rPr>
              <w:t>)</w:t>
            </w:r>
          </w:p>
        </w:tc>
      </w:tr>
      <w:tr w:rsidR="00E41C66" w:rsidRPr="00E41C66" w14:paraId="3D951105" w14:textId="77777777" w:rsidTr="00E41C66">
        <w:tc>
          <w:tcPr>
            <w:tcW w:w="0" w:type="auto"/>
            <w:hideMark/>
          </w:tcPr>
          <w:p w14:paraId="238B0F65" w14:textId="77777777" w:rsidR="00E41C66" w:rsidRPr="00E41C66" w:rsidRDefault="00E41C66" w:rsidP="00E41C66">
            <w:pPr>
              <w:rPr>
                <w:rFonts w:ascii="Segoe UI" w:eastAsia="Times New Roman" w:hAnsi="Segoe UI" w:cs="Segoe UI"/>
                <w:sz w:val="21"/>
                <w:szCs w:val="21"/>
              </w:rPr>
            </w:pPr>
            <w:proofErr w:type="spellStart"/>
            <w:r w:rsidRPr="00E41C66">
              <w:rPr>
                <w:rFonts w:ascii="Segoe UI" w:eastAsia="Times New Roman" w:hAnsi="Segoe UI" w:cs="Segoe UI"/>
                <w:b/>
                <w:bCs/>
                <w:sz w:val="21"/>
                <w:szCs w:val="21"/>
              </w:rPr>
              <w:t>HistGradientBoosting</w:t>
            </w:r>
            <w:proofErr w:type="spellEnd"/>
          </w:p>
        </w:tc>
        <w:tc>
          <w:tcPr>
            <w:tcW w:w="0" w:type="auto"/>
            <w:hideMark/>
          </w:tcPr>
          <w:p w14:paraId="28DA63FF" w14:textId="77777777" w:rsidR="00E41C66" w:rsidRPr="00E41C66" w:rsidRDefault="00E41C66" w:rsidP="00E41C66">
            <w:pPr>
              <w:jc w:val="center"/>
              <w:rPr>
                <w:rFonts w:ascii="Segoe UI" w:eastAsia="Times New Roman" w:hAnsi="Segoe UI" w:cs="Segoe UI"/>
                <w:sz w:val="21"/>
                <w:szCs w:val="21"/>
              </w:rPr>
            </w:pPr>
            <w:r w:rsidRPr="00E41C66">
              <w:rPr>
                <w:rFonts w:ascii="Segoe UI" w:eastAsia="Times New Roman" w:hAnsi="Segoe UI" w:cs="Segoe UI"/>
                <w:b/>
                <w:bCs/>
                <w:sz w:val="21"/>
                <w:szCs w:val="21"/>
              </w:rPr>
              <w:t>0.7083</w:t>
            </w:r>
          </w:p>
        </w:tc>
        <w:tc>
          <w:tcPr>
            <w:tcW w:w="0" w:type="auto"/>
            <w:hideMark/>
          </w:tcPr>
          <w:p w14:paraId="5D3AF0FF" w14:textId="77777777" w:rsidR="00E41C66" w:rsidRPr="00E41C66" w:rsidRDefault="00E41C66" w:rsidP="00E41C66">
            <w:pPr>
              <w:jc w:val="center"/>
              <w:rPr>
                <w:rFonts w:ascii="Segoe UI" w:eastAsia="Times New Roman" w:hAnsi="Segoe UI" w:cs="Segoe UI"/>
                <w:sz w:val="21"/>
                <w:szCs w:val="21"/>
              </w:rPr>
            </w:pPr>
            <w:r w:rsidRPr="00E41C66">
              <w:rPr>
                <w:rFonts w:ascii="Segoe UI" w:eastAsia="Times New Roman" w:hAnsi="Segoe UI" w:cs="Segoe UI"/>
                <w:b/>
                <w:bCs/>
                <w:sz w:val="21"/>
                <w:szCs w:val="21"/>
              </w:rPr>
              <w:t>0.5625</w:t>
            </w:r>
          </w:p>
        </w:tc>
        <w:tc>
          <w:tcPr>
            <w:tcW w:w="0" w:type="auto"/>
            <w:hideMark/>
          </w:tcPr>
          <w:p w14:paraId="393C4BCA" w14:textId="77777777" w:rsidR="00E41C66" w:rsidRPr="00E41C66" w:rsidRDefault="00E41C66" w:rsidP="00E41C66">
            <w:pPr>
              <w:jc w:val="center"/>
              <w:rPr>
                <w:rFonts w:ascii="Segoe UI" w:eastAsia="Times New Roman" w:hAnsi="Segoe UI" w:cs="Segoe UI"/>
                <w:sz w:val="21"/>
                <w:szCs w:val="21"/>
              </w:rPr>
            </w:pPr>
            <w:r w:rsidRPr="00E41C66">
              <w:rPr>
                <w:rFonts w:ascii="Segoe UI" w:eastAsia="Times New Roman" w:hAnsi="Segoe UI" w:cs="Segoe UI"/>
                <w:b/>
                <w:bCs/>
                <w:sz w:val="21"/>
                <w:szCs w:val="21"/>
              </w:rPr>
              <w:t>75.0% (18/24h)</w:t>
            </w:r>
          </w:p>
        </w:tc>
        <w:tc>
          <w:tcPr>
            <w:tcW w:w="0" w:type="auto"/>
            <w:hideMark/>
          </w:tcPr>
          <w:p w14:paraId="59346676" w14:textId="77777777" w:rsidR="00E41C66" w:rsidRPr="00E41C66" w:rsidRDefault="00E41C66" w:rsidP="00E41C66">
            <w:pPr>
              <w:jc w:val="center"/>
              <w:rPr>
                <w:rFonts w:ascii="Segoe UI" w:eastAsia="Times New Roman" w:hAnsi="Segoe UI" w:cs="Segoe UI"/>
                <w:sz w:val="21"/>
                <w:szCs w:val="21"/>
              </w:rPr>
            </w:pPr>
            <w:r w:rsidRPr="00E41C66">
              <w:rPr>
                <w:rFonts w:ascii="Segoe UI" w:eastAsia="Times New Roman" w:hAnsi="Segoe UI" w:cs="Segoe UI"/>
                <w:b/>
                <w:bCs/>
                <w:sz w:val="21"/>
                <w:szCs w:val="21"/>
              </w:rPr>
              <w:t>33.3%</w:t>
            </w:r>
          </w:p>
        </w:tc>
        <w:tc>
          <w:tcPr>
            <w:tcW w:w="0" w:type="auto"/>
            <w:hideMark/>
          </w:tcPr>
          <w:p w14:paraId="4A4BB427" w14:textId="77777777" w:rsidR="00E41C66" w:rsidRPr="00E41C66" w:rsidRDefault="00E41C66" w:rsidP="00E41C66">
            <w:pPr>
              <w:jc w:val="center"/>
              <w:rPr>
                <w:rFonts w:ascii="Segoe UI" w:eastAsia="Times New Roman" w:hAnsi="Segoe UI" w:cs="Segoe UI"/>
                <w:sz w:val="21"/>
                <w:szCs w:val="21"/>
              </w:rPr>
            </w:pPr>
            <w:r w:rsidRPr="00E41C66">
              <w:rPr>
                <w:rFonts w:ascii="Segoe UI" w:eastAsia="Times New Roman" w:hAnsi="Segoe UI" w:cs="Segoe UI"/>
                <w:b/>
                <w:bCs/>
                <w:sz w:val="21"/>
                <w:szCs w:val="21"/>
              </w:rPr>
              <w:t>81.8%</w:t>
            </w:r>
          </w:p>
        </w:tc>
        <w:tc>
          <w:tcPr>
            <w:tcW w:w="0" w:type="auto"/>
            <w:hideMark/>
          </w:tcPr>
          <w:p w14:paraId="554B1C9A" w14:textId="77777777" w:rsidR="00E41C66" w:rsidRPr="00E41C66" w:rsidRDefault="00E41C66" w:rsidP="00E41C66">
            <w:pPr>
              <w:jc w:val="center"/>
              <w:rPr>
                <w:rFonts w:ascii="Segoe UI" w:eastAsia="Times New Roman" w:hAnsi="Segoe UI" w:cs="Segoe UI"/>
                <w:sz w:val="21"/>
                <w:szCs w:val="21"/>
              </w:rPr>
            </w:pPr>
            <w:r w:rsidRPr="00E41C66">
              <w:rPr>
                <w:rFonts w:ascii="Segoe UI" w:eastAsia="Times New Roman" w:hAnsi="Segoe UI" w:cs="Segoe UI"/>
                <w:b/>
                <w:bCs/>
                <w:sz w:val="21"/>
                <w:szCs w:val="21"/>
              </w:rPr>
              <w:t>0.00%</w:t>
            </w:r>
          </w:p>
        </w:tc>
      </w:tr>
      <w:tr w:rsidR="00E41C66" w:rsidRPr="00E41C66" w14:paraId="21FD8D7E" w14:textId="77777777" w:rsidTr="00E41C66">
        <w:tc>
          <w:tcPr>
            <w:tcW w:w="0" w:type="auto"/>
            <w:hideMark/>
          </w:tcPr>
          <w:p w14:paraId="1ABAB4D3" w14:textId="77777777" w:rsidR="00E41C66" w:rsidRPr="00E41C66" w:rsidRDefault="00E41C66" w:rsidP="00E41C66">
            <w:pPr>
              <w:rPr>
                <w:rFonts w:ascii="Segoe UI" w:eastAsia="Times New Roman" w:hAnsi="Segoe UI" w:cs="Segoe UI"/>
                <w:sz w:val="21"/>
                <w:szCs w:val="21"/>
              </w:rPr>
            </w:pPr>
            <w:r w:rsidRPr="00E41C66">
              <w:rPr>
                <w:rFonts w:ascii="Segoe UI" w:eastAsia="Times New Roman" w:hAnsi="Segoe UI" w:cs="Segoe UI"/>
                <w:b/>
                <w:bCs/>
                <w:sz w:val="21"/>
                <w:szCs w:val="21"/>
              </w:rPr>
              <w:t>Random Forest</w:t>
            </w:r>
          </w:p>
        </w:tc>
        <w:tc>
          <w:tcPr>
            <w:tcW w:w="0" w:type="auto"/>
            <w:hideMark/>
          </w:tcPr>
          <w:p w14:paraId="07B7CB7D" w14:textId="77777777" w:rsidR="00E41C66" w:rsidRPr="00E41C66" w:rsidRDefault="00E41C66" w:rsidP="00E41C66">
            <w:pPr>
              <w:jc w:val="center"/>
              <w:rPr>
                <w:rFonts w:ascii="Segoe UI" w:eastAsia="Times New Roman" w:hAnsi="Segoe UI" w:cs="Segoe UI"/>
                <w:sz w:val="21"/>
                <w:szCs w:val="21"/>
              </w:rPr>
            </w:pPr>
            <w:r w:rsidRPr="00E41C66">
              <w:rPr>
                <w:rFonts w:ascii="Segoe UI" w:eastAsia="Times New Roman" w:hAnsi="Segoe UI" w:cs="Segoe UI"/>
                <w:sz w:val="21"/>
                <w:szCs w:val="21"/>
              </w:rPr>
              <w:t>0.6667</w:t>
            </w:r>
          </w:p>
        </w:tc>
        <w:tc>
          <w:tcPr>
            <w:tcW w:w="0" w:type="auto"/>
            <w:hideMark/>
          </w:tcPr>
          <w:p w14:paraId="31061CCE" w14:textId="77777777" w:rsidR="00E41C66" w:rsidRPr="00E41C66" w:rsidRDefault="00E41C66" w:rsidP="00E41C66">
            <w:pPr>
              <w:jc w:val="center"/>
              <w:rPr>
                <w:rFonts w:ascii="Segoe UI" w:eastAsia="Times New Roman" w:hAnsi="Segoe UI" w:cs="Segoe UI"/>
                <w:sz w:val="21"/>
                <w:szCs w:val="21"/>
              </w:rPr>
            </w:pPr>
            <w:r w:rsidRPr="00E41C66">
              <w:rPr>
                <w:rFonts w:ascii="Segoe UI" w:eastAsia="Times New Roman" w:hAnsi="Segoe UI" w:cs="Segoe UI"/>
                <w:sz w:val="21"/>
                <w:szCs w:val="21"/>
              </w:rPr>
              <w:t>0.5000</w:t>
            </w:r>
          </w:p>
        </w:tc>
        <w:tc>
          <w:tcPr>
            <w:tcW w:w="0" w:type="auto"/>
            <w:hideMark/>
          </w:tcPr>
          <w:p w14:paraId="528BCC9F" w14:textId="77777777" w:rsidR="00E41C66" w:rsidRPr="00E41C66" w:rsidRDefault="00E41C66" w:rsidP="00E41C66">
            <w:pPr>
              <w:jc w:val="center"/>
              <w:rPr>
                <w:rFonts w:ascii="Segoe UI" w:eastAsia="Times New Roman" w:hAnsi="Segoe UI" w:cs="Segoe UI"/>
                <w:sz w:val="21"/>
                <w:szCs w:val="21"/>
              </w:rPr>
            </w:pPr>
            <w:r w:rsidRPr="00E41C66">
              <w:rPr>
                <w:rFonts w:ascii="Segoe UI" w:eastAsia="Times New Roman" w:hAnsi="Segoe UI" w:cs="Segoe UI"/>
                <w:sz w:val="21"/>
                <w:szCs w:val="21"/>
              </w:rPr>
              <w:t>70.8% (17/24h)</w:t>
            </w:r>
          </w:p>
        </w:tc>
        <w:tc>
          <w:tcPr>
            <w:tcW w:w="0" w:type="auto"/>
            <w:hideMark/>
          </w:tcPr>
          <w:p w14:paraId="5835DC08" w14:textId="77777777" w:rsidR="00E41C66" w:rsidRPr="00E41C66" w:rsidRDefault="00E41C66" w:rsidP="00E41C66">
            <w:pPr>
              <w:jc w:val="center"/>
              <w:rPr>
                <w:rFonts w:ascii="Segoe UI" w:eastAsia="Times New Roman" w:hAnsi="Segoe UI" w:cs="Segoe UI"/>
                <w:sz w:val="21"/>
                <w:szCs w:val="21"/>
              </w:rPr>
            </w:pPr>
            <w:r w:rsidRPr="00E41C66">
              <w:rPr>
                <w:rFonts w:ascii="Segoe UI" w:eastAsia="Times New Roman" w:hAnsi="Segoe UI" w:cs="Segoe UI"/>
                <w:sz w:val="21"/>
                <w:szCs w:val="21"/>
              </w:rPr>
              <w:t>41.7%</w:t>
            </w:r>
          </w:p>
        </w:tc>
        <w:tc>
          <w:tcPr>
            <w:tcW w:w="0" w:type="auto"/>
            <w:hideMark/>
          </w:tcPr>
          <w:p w14:paraId="25470ACE" w14:textId="77777777" w:rsidR="00E41C66" w:rsidRPr="00E41C66" w:rsidRDefault="00E41C66" w:rsidP="00E41C66">
            <w:pPr>
              <w:jc w:val="center"/>
              <w:rPr>
                <w:rFonts w:ascii="Segoe UI" w:eastAsia="Times New Roman" w:hAnsi="Segoe UI" w:cs="Segoe UI"/>
                <w:sz w:val="21"/>
                <w:szCs w:val="21"/>
              </w:rPr>
            </w:pPr>
            <w:r w:rsidRPr="00E41C66">
              <w:rPr>
                <w:rFonts w:ascii="Segoe UI" w:eastAsia="Times New Roman" w:hAnsi="Segoe UI" w:cs="Segoe UI"/>
                <w:sz w:val="21"/>
                <w:szCs w:val="21"/>
              </w:rPr>
              <w:t>77.3%</w:t>
            </w:r>
          </w:p>
        </w:tc>
        <w:tc>
          <w:tcPr>
            <w:tcW w:w="0" w:type="auto"/>
            <w:hideMark/>
          </w:tcPr>
          <w:p w14:paraId="317649E4" w14:textId="77777777" w:rsidR="00E41C66" w:rsidRPr="00E41C66" w:rsidRDefault="00E41C66" w:rsidP="00E41C66">
            <w:pPr>
              <w:jc w:val="center"/>
              <w:rPr>
                <w:rFonts w:ascii="Segoe UI" w:eastAsia="Times New Roman" w:hAnsi="Segoe UI" w:cs="Segoe UI"/>
                <w:sz w:val="21"/>
                <w:szCs w:val="21"/>
              </w:rPr>
            </w:pPr>
            <w:r w:rsidRPr="00E41C66">
              <w:rPr>
                <w:rFonts w:ascii="Segoe UI" w:eastAsia="Times New Roman" w:hAnsi="Segoe UI" w:cs="Segoe UI"/>
                <w:sz w:val="21"/>
                <w:szCs w:val="21"/>
              </w:rPr>
              <w:t>0.00%</w:t>
            </w:r>
          </w:p>
        </w:tc>
      </w:tr>
      <w:tr w:rsidR="00E41C66" w:rsidRPr="00E41C66" w14:paraId="269B68A9" w14:textId="77777777" w:rsidTr="00E41C66">
        <w:tc>
          <w:tcPr>
            <w:tcW w:w="0" w:type="auto"/>
            <w:hideMark/>
          </w:tcPr>
          <w:p w14:paraId="1729D033" w14:textId="77777777" w:rsidR="00E41C66" w:rsidRPr="00E41C66" w:rsidRDefault="00E41C66" w:rsidP="00E41C66">
            <w:pPr>
              <w:rPr>
                <w:rFonts w:ascii="Segoe UI" w:eastAsia="Times New Roman" w:hAnsi="Segoe UI" w:cs="Segoe UI"/>
                <w:sz w:val="21"/>
                <w:szCs w:val="21"/>
              </w:rPr>
            </w:pPr>
            <w:r w:rsidRPr="00E41C66">
              <w:rPr>
                <w:rFonts w:ascii="Segoe UI" w:eastAsia="Times New Roman" w:hAnsi="Segoe UI" w:cs="Segoe UI"/>
                <w:b/>
                <w:bCs/>
                <w:sz w:val="21"/>
                <w:szCs w:val="21"/>
              </w:rPr>
              <w:t>Logistic Regression</w:t>
            </w:r>
          </w:p>
        </w:tc>
        <w:tc>
          <w:tcPr>
            <w:tcW w:w="0" w:type="auto"/>
            <w:hideMark/>
          </w:tcPr>
          <w:p w14:paraId="3A24FB8F" w14:textId="77777777" w:rsidR="00E41C66" w:rsidRPr="00E41C66" w:rsidRDefault="00E41C66" w:rsidP="00E41C66">
            <w:pPr>
              <w:jc w:val="center"/>
              <w:rPr>
                <w:rFonts w:ascii="Segoe UI" w:eastAsia="Times New Roman" w:hAnsi="Segoe UI" w:cs="Segoe UI"/>
                <w:sz w:val="21"/>
                <w:szCs w:val="21"/>
              </w:rPr>
            </w:pPr>
            <w:r w:rsidRPr="00E41C66">
              <w:rPr>
                <w:rFonts w:ascii="Segoe UI" w:eastAsia="Times New Roman" w:hAnsi="Segoe UI" w:cs="Segoe UI"/>
                <w:sz w:val="21"/>
                <w:szCs w:val="21"/>
              </w:rPr>
              <w:t>0.6026</w:t>
            </w:r>
          </w:p>
        </w:tc>
        <w:tc>
          <w:tcPr>
            <w:tcW w:w="0" w:type="auto"/>
            <w:hideMark/>
          </w:tcPr>
          <w:p w14:paraId="37D37E48" w14:textId="77777777" w:rsidR="00E41C66" w:rsidRPr="00E41C66" w:rsidRDefault="00E41C66" w:rsidP="00E41C66">
            <w:pPr>
              <w:jc w:val="center"/>
              <w:rPr>
                <w:rFonts w:ascii="Segoe UI" w:eastAsia="Times New Roman" w:hAnsi="Segoe UI" w:cs="Segoe UI"/>
                <w:sz w:val="21"/>
                <w:szCs w:val="21"/>
              </w:rPr>
            </w:pPr>
            <w:r w:rsidRPr="00E41C66">
              <w:rPr>
                <w:rFonts w:ascii="Segoe UI" w:eastAsia="Times New Roman" w:hAnsi="Segoe UI" w:cs="Segoe UI"/>
                <w:sz w:val="21"/>
                <w:szCs w:val="21"/>
              </w:rPr>
              <w:t>0.2917</w:t>
            </w:r>
          </w:p>
        </w:tc>
        <w:tc>
          <w:tcPr>
            <w:tcW w:w="0" w:type="auto"/>
            <w:hideMark/>
          </w:tcPr>
          <w:p w14:paraId="47A0681F" w14:textId="77777777" w:rsidR="00E41C66" w:rsidRPr="00E41C66" w:rsidRDefault="00E41C66" w:rsidP="00E41C66">
            <w:pPr>
              <w:jc w:val="center"/>
              <w:rPr>
                <w:rFonts w:ascii="Segoe UI" w:eastAsia="Times New Roman" w:hAnsi="Segoe UI" w:cs="Segoe UI"/>
                <w:sz w:val="21"/>
                <w:szCs w:val="21"/>
              </w:rPr>
            </w:pPr>
            <w:r w:rsidRPr="00E41C66">
              <w:rPr>
                <w:rFonts w:ascii="Segoe UI" w:eastAsia="Times New Roman" w:hAnsi="Segoe UI" w:cs="Segoe UI"/>
                <w:sz w:val="21"/>
                <w:szCs w:val="21"/>
              </w:rPr>
              <w:t>66.7% (16/24h)</w:t>
            </w:r>
          </w:p>
        </w:tc>
        <w:tc>
          <w:tcPr>
            <w:tcW w:w="0" w:type="auto"/>
            <w:hideMark/>
          </w:tcPr>
          <w:p w14:paraId="6FC7508A" w14:textId="77777777" w:rsidR="00E41C66" w:rsidRPr="00E41C66" w:rsidRDefault="00E41C66" w:rsidP="00E41C66">
            <w:pPr>
              <w:jc w:val="center"/>
              <w:rPr>
                <w:rFonts w:ascii="Segoe UI" w:eastAsia="Times New Roman" w:hAnsi="Segoe UI" w:cs="Segoe UI"/>
                <w:sz w:val="21"/>
                <w:szCs w:val="21"/>
              </w:rPr>
            </w:pPr>
            <w:r w:rsidRPr="00E41C66">
              <w:rPr>
                <w:rFonts w:ascii="Segoe UI" w:eastAsia="Times New Roman" w:hAnsi="Segoe UI" w:cs="Segoe UI"/>
                <w:sz w:val="21"/>
                <w:szCs w:val="21"/>
              </w:rPr>
              <w:t>58.3%</w:t>
            </w:r>
          </w:p>
        </w:tc>
        <w:tc>
          <w:tcPr>
            <w:tcW w:w="0" w:type="auto"/>
            <w:hideMark/>
          </w:tcPr>
          <w:p w14:paraId="4C69B1D2" w14:textId="77777777" w:rsidR="00E41C66" w:rsidRPr="00E41C66" w:rsidRDefault="00E41C66" w:rsidP="00E41C66">
            <w:pPr>
              <w:jc w:val="center"/>
              <w:rPr>
                <w:rFonts w:ascii="Segoe UI" w:eastAsia="Times New Roman" w:hAnsi="Segoe UI" w:cs="Segoe UI"/>
                <w:sz w:val="21"/>
                <w:szCs w:val="21"/>
              </w:rPr>
            </w:pPr>
            <w:r w:rsidRPr="00E41C66">
              <w:rPr>
                <w:rFonts w:ascii="Segoe UI" w:eastAsia="Times New Roman" w:hAnsi="Segoe UI" w:cs="Segoe UI"/>
                <w:sz w:val="21"/>
                <w:szCs w:val="21"/>
              </w:rPr>
              <w:t>69.6%</w:t>
            </w:r>
          </w:p>
        </w:tc>
        <w:tc>
          <w:tcPr>
            <w:tcW w:w="0" w:type="auto"/>
            <w:hideMark/>
          </w:tcPr>
          <w:p w14:paraId="0DD7B084" w14:textId="77777777" w:rsidR="00E41C66" w:rsidRPr="00E41C66" w:rsidRDefault="00E41C66" w:rsidP="00E41C66">
            <w:pPr>
              <w:jc w:val="center"/>
              <w:rPr>
                <w:rFonts w:ascii="Segoe UI" w:eastAsia="Times New Roman" w:hAnsi="Segoe UI" w:cs="Segoe UI"/>
                <w:sz w:val="21"/>
                <w:szCs w:val="21"/>
              </w:rPr>
            </w:pPr>
            <w:r w:rsidRPr="00E41C66">
              <w:rPr>
                <w:rFonts w:ascii="Segoe UI" w:eastAsia="Times New Roman" w:hAnsi="Segoe UI" w:cs="Segoe UI"/>
                <w:sz w:val="21"/>
                <w:szCs w:val="21"/>
              </w:rPr>
              <w:t>0.00%</w:t>
            </w:r>
          </w:p>
        </w:tc>
      </w:tr>
    </w:tbl>
    <w:p w14:paraId="45D042AC" w14:textId="77777777" w:rsidR="00B82526" w:rsidRDefault="00B82526">
      <w:pPr>
        <w:spacing w:after="200"/>
      </w:pPr>
    </w:p>
    <w:p w14:paraId="619AAD0E" w14:textId="77777777" w:rsidR="00B82526" w:rsidRDefault="00000000">
      <w:pPr>
        <w:spacing w:before="300" w:after="100"/>
        <w:jc w:val="center"/>
      </w:pPr>
      <w:r>
        <w:rPr>
          <w:noProof/>
        </w:rPr>
        <w:drawing>
          <wp:inline distT="0" distB="0" distL="0" distR="0" wp14:anchorId="32DBC0BD" wp14:editId="3C93DCD4">
            <wp:extent cx="6160770" cy="3013710"/>
            <wp:effectExtent l="19050" t="19050" r="11430" b="1524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6161054" cy="3013849"/>
                    </a:xfrm>
                    <a:prstGeom prst="rect">
                      <a:avLst/>
                    </a:prstGeom>
                    <a:ln>
                      <a:solidFill>
                        <a:schemeClr val="tx1"/>
                      </a:solidFill>
                    </a:ln>
                  </pic:spPr>
                </pic:pic>
              </a:graphicData>
            </a:graphic>
          </wp:inline>
        </w:drawing>
      </w:r>
    </w:p>
    <w:p w14:paraId="05EDD37F" w14:textId="77777777" w:rsidR="00B82526" w:rsidRDefault="00000000">
      <w:pPr>
        <w:spacing w:before="120" w:after="300"/>
        <w:jc w:val="center"/>
      </w:pPr>
      <w:r>
        <w:rPr>
          <w:b/>
          <w:bCs/>
          <w:sz w:val="22"/>
          <w:szCs w:val="22"/>
        </w:rPr>
        <w:t>Figure 5: DZ-127 Hydraulic Oil Temperature Runaway Leading to Failure on 18 April 2025</w:t>
      </w:r>
    </w:p>
    <w:p w14:paraId="0FD767B6" w14:textId="77777777" w:rsidR="00B82526" w:rsidRDefault="00000000">
      <w:pPr>
        <w:spacing w:before="300" w:after="100"/>
        <w:jc w:val="center"/>
      </w:pPr>
      <w:r>
        <w:rPr>
          <w:noProof/>
        </w:rPr>
        <w:drawing>
          <wp:inline distT="0" distB="0" distL="0" distR="0" wp14:anchorId="7E9696CF" wp14:editId="6B79266C">
            <wp:extent cx="6195060" cy="3070860"/>
            <wp:effectExtent l="19050" t="19050" r="15240" b="1524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6195339" cy="3070998"/>
                    </a:xfrm>
                    <a:prstGeom prst="rect">
                      <a:avLst/>
                    </a:prstGeom>
                    <a:ln>
                      <a:solidFill>
                        <a:schemeClr val="tx1"/>
                      </a:solidFill>
                    </a:ln>
                  </pic:spPr>
                </pic:pic>
              </a:graphicData>
            </a:graphic>
          </wp:inline>
        </w:drawing>
      </w:r>
    </w:p>
    <w:p w14:paraId="55B269E9" w14:textId="77777777" w:rsidR="00B82526" w:rsidRDefault="00000000">
      <w:pPr>
        <w:spacing w:before="120" w:after="300"/>
        <w:jc w:val="center"/>
      </w:pPr>
      <w:r>
        <w:rPr>
          <w:b/>
          <w:bCs/>
          <w:sz w:val="22"/>
          <w:szCs w:val="22"/>
        </w:rPr>
        <w:t>Figure 6: DZ-118 Engine Thermal and Blow-by Pressure Degradation Pre-Failure on 23 May 2025</w:t>
      </w:r>
    </w:p>
    <w:p w14:paraId="389603B6" w14:textId="77777777" w:rsidR="00B82526" w:rsidRDefault="00000000">
      <w:pPr>
        <w:spacing w:before="300" w:after="100"/>
        <w:jc w:val="center"/>
      </w:pPr>
      <w:r>
        <w:rPr>
          <w:noProof/>
        </w:rPr>
        <w:drawing>
          <wp:inline distT="0" distB="0" distL="0" distR="0" wp14:anchorId="7E7E5067" wp14:editId="73D15627">
            <wp:extent cx="6172200" cy="2926080"/>
            <wp:effectExtent l="19050" t="19050" r="19050" b="26670"/>
            <wp:docPr id="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6172662" cy="2926299"/>
                    </a:xfrm>
                    <a:prstGeom prst="rect">
                      <a:avLst/>
                    </a:prstGeom>
                    <a:ln>
                      <a:solidFill>
                        <a:schemeClr val="tx1"/>
                      </a:solidFill>
                    </a:ln>
                  </pic:spPr>
                </pic:pic>
              </a:graphicData>
            </a:graphic>
          </wp:inline>
        </w:drawing>
      </w:r>
    </w:p>
    <w:p w14:paraId="6E191E74" w14:textId="77777777" w:rsidR="00B82526" w:rsidRDefault="00000000">
      <w:pPr>
        <w:spacing w:before="120" w:after="300"/>
        <w:jc w:val="center"/>
      </w:pPr>
      <w:r>
        <w:rPr>
          <w:b/>
          <w:bCs/>
          <w:sz w:val="22"/>
          <w:szCs w:val="22"/>
        </w:rPr>
        <w:t>Figure 7: Out-of-Fold Receiver Operating Characteristic and Precision-Recall Curves for Candidate Models</w:t>
      </w:r>
    </w:p>
    <w:p w14:paraId="54B230F7" w14:textId="3A08E6C6" w:rsidR="00B82526" w:rsidRDefault="00A87967">
      <w:pPr>
        <w:pStyle w:val="Heading2"/>
      </w:pPr>
      <w:r>
        <w:t>6.2 Why PR-AUC and Operational Threshold Tuning Are Essential</w:t>
      </w:r>
    </w:p>
    <w:p w14:paraId="530D5210" w14:textId="77777777" w:rsidR="00B82526" w:rsidRDefault="00000000">
      <w:pPr>
        <w:spacing w:after="200" w:line="360" w:lineRule="auto"/>
        <w:jc w:val="both"/>
      </w:pPr>
      <w:r>
        <w:rPr>
          <w:b/>
          <w:bCs/>
        </w:rPr>
        <w:t xml:space="preserve">Ineffectiveness of Accuracy and ROC-AUC: </w:t>
      </w:r>
      <w:r>
        <w:t xml:space="preserve">Given that the base rate is 0.73 percent, a naive model that predicts zeros </w:t>
      </w:r>
      <w:proofErr w:type="gramStart"/>
      <w:r>
        <w:t>has</w:t>
      </w:r>
      <w:proofErr w:type="gramEnd"/>
      <w:r>
        <w:t xml:space="preserve"> 99.27 percent accuracy and misleading ROC-AUC since it consists of more true negatives. The Precision-Recall AUC (PR-AUC) measures the accuracy of the positive class. The </w:t>
      </w:r>
      <w:proofErr w:type="spellStart"/>
      <w:r>
        <w:t>HistGradientBoosting</w:t>
      </w:r>
      <w:proofErr w:type="spellEnd"/>
      <w:r>
        <w:t xml:space="preserve"> model has an approximate PR-AUC of 0.708 compared to random guessing (0.0073), which is 97 times higher.</w:t>
      </w:r>
    </w:p>
    <w:p w14:paraId="411223F4" w14:textId="77777777" w:rsidR="00B82526" w:rsidRDefault="00000000">
      <w:pPr>
        <w:spacing w:after="200" w:line="360" w:lineRule="auto"/>
        <w:jc w:val="both"/>
      </w:pPr>
      <w:r>
        <w:rPr>
          <w:b/>
          <w:bCs/>
        </w:rPr>
        <w:t xml:space="preserve">Operational Threshold Tuning (tau = 0.10): </w:t>
      </w:r>
      <w:r>
        <w:t>Given the compression of the rare event probability, a threshold of 0.50 results in no alerts. An optimized operational threshold of tau = 0.10 detects all the 24-hour pre-failure period for DZ-118.</w:t>
      </w:r>
    </w:p>
    <w:p w14:paraId="6FFA0FF2" w14:textId="77777777" w:rsidR="00B82526" w:rsidRDefault="00B82526">
      <w:pPr>
        <w:spacing w:after="200" w:line="360" w:lineRule="auto"/>
        <w:jc w:val="both"/>
      </w:pPr>
    </w:p>
    <w:p w14:paraId="67429B9E" w14:textId="375F034C" w:rsidR="00B82526" w:rsidRDefault="00E41C66">
      <w:pPr>
        <w:spacing w:before="300" w:after="100"/>
        <w:jc w:val="center"/>
      </w:pPr>
      <w:r>
        <w:rPr>
          <w:noProof/>
        </w:rPr>
        <w:drawing>
          <wp:inline distT="0" distB="0" distL="0" distR="0" wp14:anchorId="530E4BAE" wp14:editId="03A5ED83">
            <wp:extent cx="5859780" cy="3222879"/>
            <wp:effectExtent l="19050" t="19050" r="26670" b="15875"/>
            <wp:docPr id="6397110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711024" name="Picture 63971102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878327" cy="3233080"/>
                    </a:xfrm>
                    <a:prstGeom prst="rect">
                      <a:avLst/>
                    </a:prstGeom>
                    <a:ln>
                      <a:solidFill>
                        <a:schemeClr val="tx1"/>
                      </a:solidFill>
                    </a:ln>
                  </pic:spPr>
                </pic:pic>
              </a:graphicData>
            </a:graphic>
          </wp:inline>
        </w:drawing>
      </w:r>
    </w:p>
    <w:p w14:paraId="0158DB09" w14:textId="77777777" w:rsidR="00B82526" w:rsidRDefault="00000000">
      <w:pPr>
        <w:spacing w:before="120" w:after="300"/>
        <w:jc w:val="center"/>
      </w:pPr>
      <w:r>
        <w:rPr>
          <w:b/>
          <w:bCs/>
          <w:sz w:val="22"/>
          <w:szCs w:val="22"/>
        </w:rPr>
        <w:t>Figure 8: Operational Decision Threshold Sweep showing Recall (Detection Rate) versus False Positive Rate (Alarm Fatigue) with Calibrated Cutoff at tau = 0.10</w:t>
      </w:r>
    </w:p>
    <w:p w14:paraId="48D7AB8E" w14:textId="4AA31CA2" w:rsidR="00B82526" w:rsidRDefault="00E41C66">
      <w:pPr>
        <w:spacing w:before="300" w:after="100"/>
        <w:jc w:val="center"/>
      </w:pPr>
      <w:r>
        <w:rPr>
          <w:noProof/>
        </w:rPr>
        <w:drawing>
          <wp:inline distT="0" distB="0" distL="0" distR="0" wp14:anchorId="6E8E578D" wp14:editId="5A3A24E3">
            <wp:extent cx="4541520" cy="3784600"/>
            <wp:effectExtent l="19050" t="19050" r="11430" b="25400"/>
            <wp:docPr id="1366858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858438" name="Picture 136685843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541531" cy="3784609"/>
                    </a:xfrm>
                    <a:prstGeom prst="rect">
                      <a:avLst/>
                    </a:prstGeom>
                    <a:ln>
                      <a:solidFill>
                        <a:schemeClr val="tx1"/>
                      </a:solidFill>
                    </a:ln>
                  </pic:spPr>
                </pic:pic>
              </a:graphicData>
            </a:graphic>
          </wp:inline>
        </w:drawing>
      </w:r>
    </w:p>
    <w:p w14:paraId="14DD44C6" w14:textId="77777777" w:rsidR="00B82526" w:rsidRDefault="00000000">
      <w:pPr>
        <w:spacing w:before="120" w:after="300"/>
        <w:jc w:val="center"/>
      </w:pPr>
      <w:r>
        <w:rPr>
          <w:b/>
          <w:bCs/>
          <w:sz w:val="22"/>
          <w:szCs w:val="22"/>
        </w:rPr>
        <w:t xml:space="preserve">Figure 9: Confusion Matrix for </w:t>
      </w:r>
      <w:proofErr w:type="spellStart"/>
      <w:r>
        <w:rPr>
          <w:b/>
          <w:bCs/>
          <w:sz w:val="22"/>
          <w:szCs w:val="22"/>
        </w:rPr>
        <w:t>HistGradientBoosting</w:t>
      </w:r>
      <w:proofErr w:type="spellEnd"/>
      <w:r>
        <w:rPr>
          <w:b/>
          <w:bCs/>
          <w:sz w:val="22"/>
          <w:szCs w:val="22"/>
        </w:rPr>
        <w:t xml:space="preserve"> at Calibrated Operational Threshold (tau = 0.10)</w:t>
      </w:r>
    </w:p>
    <w:p w14:paraId="07A42B3D" w14:textId="07309237" w:rsidR="00B82526" w:rsidRDefault="00A87967">
      <w:pPr>
        <w:pStyle w:val="Heading2"/>
      </w:pPr>
      <w:r>
        <w:t>6.3 Sensor Forecasting Baselines</w:t>
      </w:r>
    </w:p>
    <w:p w14:paraId="401B6554" w14:textId="77777777" w:rsidR="00B82526" w:rsidRDefault="00000000">
      <w:pPr>
        <w:spacing w:after="200" w:line="360" w:lineRule="auto"/>
        <w:jc w:val="both"/>
      </w:pPr>
      <w:r>
        <w:t xml:space="preserve">When running </w:t>
      </w:r>
      <w:proofErr w:type="spellStart"/>
      <w:r>
        <w:t>backtests</w:t>
      </w:r>
      <w:proofErr w:type="spellEnd"/>
      <w:r>
        <w:t xml:space="preserve"> with rolling origin of six hours, Level and Trend Exponential Smoothing proved to be superior to naïve persistence approach, lowering the Mean Absolute Error (MAE) by 15% to 28%.</w:t>
      </w:r>
    </w:p>
    <w:p w14:paraId="760B1AC2" w14:textId="77777777" w:rsidR="00B82526" w:rsidRDefault="00000000">
      <w:pPr>
        <w:pStyle w:val="Heading1"/>
      </w:pPr>
      <w:r>
        <w:t>7.  Case Study: Resolution of the DZ-142 False Alarm</w:t>
      </w:r>
    </w:p>
    <w:p w14:paraId="230E7D1D" w14:textId="77777777" w:rsidR="00B82526" w:rsidRDefault="00000000">
      <w:pPr>
        <w:spacing w:after="200" w:line="360" w:lineRule="auto"/>
        <w:jc w:val="both"/>
      </w:pPr>
      <w:r>
        <w:t>When DZ-142 experienced its coolant temperature spike in March:</w:t>
      </w:r>
    </w:p>
    <w:p w14:paraId="7DE28617" w14:textId="77777777" w:rsidR="00B82526" w:rsidRDefault="00000000">
      <w:pPr>
        <w:numPr>
          <w:ilvl w:val="0"/>
          <w:numId w:val="4"/>
        </w:numPr>
        <w:spacing w:before="240" w:after="240" w:line="360" w:lineRule="auto"/>
        <w:jc w:val="both"/>
      </w:pPr>
      <w:r>
        <w:t>The instant measurement value exceeded the OEM threshold.</w:t>
      </w:r>
    </w:p>
    <w:p w14:paraId="763F2846" w14:textId="77777777" w:rsidR="00B82526" w:rsidRDefault="00000000">
      <w:pPr>
        <w:numPr>
          <w:ilvl w:val="0"/>
          <w:numId w:val="4"/>
        </w:numPr>
        <w:spacing w:before="240" w:after="240" w:line="360" w:lineRule="auto"/>
        <w:jc w:val="both"/>
      </w:pPr>
      <w:r>
        <w:t xml:space="preserve">But since it went back to normal in the next hour, the 24 hours slope of this measurement did not </w:t>
      </w:r>
      <w:proofErr w:type="gramStart"/>
      <w:r>
        <w:t>change</w:t>
      </w:r>
      <w:proofErr w:type="gramEnd"/>
      <w:r>
        <w:t xml:space="preserve"> and its historical threshold breach count was 1.</w:t>
      </w:r>
    </w:p>
    <w:p w14:paraId="6FF8F273" w14:textId="77777777" w:rsidR="00B82526" w:rsidRDefault="00000000">
      <w:pPr>
        <w:numPr>
          <w:ilvl w:val="0"/>
          <w:numId w:val="4"/>
        </w:numPr>
        <w:spacing w:before="240" w:after="240" w:line="360" w:lineRule="auto"/>
        <w:jc w:val="both"/>
      </w:pPr>
      <w:r>
        <w:t xml:space="preserve">The </w:t>
      </w:r>
      <w:proofErr w:type="spellStart"/>
      <w:r>
        <w:t>HistGradientBoosting</w:t>
      </w:r>
      <w:proofErr w:type="spellEnd"/>
      <w:r>
        <w:t xml:space="preserve"> algorithm could not identify any pattern for deterioration and gave a failure probability between 0.06 to 0.07 which was well below our 0.10 threshold limit.</w:t>
      </w:r>
    </w:p>
    <w:p w14:paraId="3C7A0AB5" w14:textId="77777777" w:rsidR="00B82526" w:rsidRDefault="00000000">
      <w:pPr>
        <w:spacing w:after="200" w:line="360" w:lineRule="auto"/>
        <w:jc w:val="both"/>
      </w:pPr>
      <w:r>
        <w:t>The model correctly suppressed the false alarm, preventing an unnecessary field inspection while still capturing the true failures on DZ-118 and DZ-127.</w:t>
      </w:r>
    </w:p>
    <w:p w14:paraId="30F98F02" w14:textId="77777777" w:rsidR="00B82526" w:rsidRDefault="00000000">
      <w:pPr>
        <w:pStyle w:val="Heading1"/>
      </w:pPr>
      <w:r>
        <w:t>8.  Business Outcome and Cost Asymmetry</w:t>
      </w:r>
    </w:p>
    <w:p w14:paraId="70EFFD9D" w14:textId="77777777" w:rsidR="00B82526" w:rsidRDefault="00000000">
      <w:pPr>
        <w:spacing w:after="200" w:line="360" w:lineRule="auto"/>
        <w:jc w:val="both"/>
      </w:pPr>
      <w:r>
        <w:t>In mining reliability engineering, false alarms and missed failures carry asymmetric financial costs.</w:t>
      </w:r>
    </w:p>
    <w:p w14:paraId="41E17196" w14:textId="77777777" w:rsidR="00B82526" w:rsidRDefault="00000000">
      <w:pPr>
        <w:numPr>
          <w:ilvl w:val="0"/>
          <w:numId w:val="1"/>
        </w:numPr>
        <w:pBdr>
          <w:top w:val="nil"/>
          <w:left w:val="nil"/>
          <w:bottom w:val="nil"/>
          <w:right w:val="nil"/>
          <w:between w:val="nil"/>
        </w:pBdr>
        <w:spacing w:after="120" w:line="360" w:lineRule="auto"/>
        <w:jc w:val="both"/>
      </w:pPr>
      <w:r>
        <w:rPr>
          <w:color w:val="000000"/>
        </w:rPr>
        <w:t xml:space="preserve">Cost of a False Positive (False Alarm): </w:t>
      </w:r>
      <w:r>
        <w:t>The technician undertakes an hourly visual inspection, draws an oil sample, and inspects the lines. Approximate cost: $500 - $1,000.</w:t>
      </w:r>
    </w:p>
    <w:p w14:paraId="00CF6395" w14:textId="77777777" w:rsidR="00B82526" w:rsidRDefault="00000000">
      <w:pPr>
        <w:numPr>
          <w:ilvl w:val="0"/>
          <w:numId w:val="1"/>
        </w:numPr>
        <w:pBdr>
          <w:top w:val="nil"/>
          <w:left w:val="nil"/>
          <w:bottom w:val="nil"/>
          <w:right w:val="nil"/>
          <w:between w:val="nil"/>
        </w:pBdr>
        <w:spacing w:after="120" w:line="360" w:lineRule="auto"/>
        <w:jc w:val="both"/>
      </w:pPr>
      <w:r>
        <w:rPr>
          <w:color w:val="000000"/>
        </w:rPr>
        <w:t xml:space="preserve">Cost of a False Negative (Unpredicted Breakdown): </w:t>
      </w:r>
      <w:r>
        <w:t>Catastrophic failure of an engine or hydraulic pump in the mine pit entails emergency towing, road closures, and repair at an approximate cost of $80,000 - $150,000 in major component rebuilds.</w:t>
      </w:r>
    </w:p>
    <w:p w14:paraId="2F2C07AC" w14:textId="77777777" w:rsidR="00B82526" w:rsidRDefault="00B82526">
      <w:pPr>
        <w:pBdr>
          <w:top w:val="nil"/>
          <w:left w:val="nil"/>
          <w:bottom w:val="nil"/>
          <w:right w:val="nil"/>
          <w:between w:val="nil"/>
        </w:pBdr>
        <w:spacing w:after="120" w:line="360" w:lineRule="auto"/>
        <w:jc w:val="both"/>
      </w:pPr>
    </w:p>
    <w:p w14:paraId="472F2255" w14:textId="77777777" w:rsidR="00B82526" w:rsidRDefault="00000000">
      <w:pPr>
        <w:spacing w:after="200" w:line="360" w:lineRule="auto"/>
        <w:jc w:val="both"/>
      </w:pPr>
      <w:r>
        <w:rPr>
          <w:b/>
          <w:bCs/>
        </w:rPr>
        <w:t xml:space="preserve">Cost Asymmetry Ratio: </w:t>
      </w:r>
      <w:r>
        <w:t xml:space="preserve">Greater than 100 to 1. Since avoiding an </w:t>
      </w:r>
      <w:proofErr w:type="gramStart"/>
      <w:r>
        <w:t>engine failure results</w:t>
      </w:r>
      <w:proofErr w:type="gramEnd"/>
      <w:r>
        <w:t xml:space="preserve"> in savings of more than $100,000, a sensitive operating criterion (tau = 0.10) that involves performing occasional minor inspection to ensure 100 percent detection of engine failures would result in significant ROI for Exxaro.</w:t>
      </w:r>
    </w:p>
    <w:p w14:paraId="7644FBD7" w14:textId="77777777" w:rsidR="00B82526" w:rsidRDefault="00000000">
      <w:pPr>
        <w:pStyle w:val="Heading1"/>
      </w:pPr>
      <w:r>
        <w:t>9.  Production Systems Architecture and CMMS Integration</w:t>
      </w:r>
    </w:p>
    <w:p w14:paraId="4F7E7146" w14:textId="7C69C04C" w:rsidR="00B82526" w:rsidRDefault="00A87967">
      <w:pPr>
        <w:pStyle w:val="Heading2"/>
      </w:pPr>
      <w:r>
        <w:t>9.1 Production Monitoring Flow</w:t>
      </w:r>
    </w:p>
    <w:p w14:paraId="40CC622C" w14:textId="77777777" w:rsidR="00B82526" w:rsidRDefault="00000000">
      <w:pPr>
        <w:numPr>
          <w:ilvl w:val="0"/>
          <w:numId w:val="5"/>
        </w:numPr>
        <w:spacing w:after="120" w:line="360" w:lineRule="auto"/>
        <w:jc w:val="both"/>
      </w:pPr>
      <w:r>
        <w:t>Hourly Ingestion: IoT gateway uploads telemetry data per hour into cloud storage.</w:t>
      </w:r>
    </w:p>
    <w:p w14:paraId="7BDF005B" w14:textId="77777777" w:rsidR="00B82526" w:rsidRDefault="00000000">
      <w:pPr>
        <w:numPr>
          <w:ilvl w:val="0"/>
          <w:numId w:val="5"/>
        </w:numPr>
        <w:spacing w:after="120" w:line="360" w:lineRule="auto"/>
        <w:jc w:val="both"/>
      </w:pPr>
      <w:r>
        <w:t>Data Quality Check Pipeline: Validates monotonicity of SMR and missingness.</w:t>
      </w:r>
    </w:p>
    <w:p w14:paraId="351DA31D" w14:textId="77777777" w:rsidR="00B82526" w:rsidRDefault="00000000">
      <w:pPr>
        <w:numPr>
          <w:ilvl w:val="0"/>
          <w:numId w:val="5"/>
        </w:numPr>
        <w:spacing w:after="120" w:line="360" w:lineRule="auto"/>
        <w:jc w:val="both"/>
      </w:pPr>
      <w:r>
        <w:t xml:space="preserve">Feature Pipeline: Computes slopes </w:t>
      </w:r>
      <w:proofErr w:type="gramStart"/>
      <w:r>
        <w:t>shift(</w:t>
      </w:r>
      <w:proofErr w:type="gramEnd"/>
      <w:r>
        <w:t>1) per group and rolling features.</w:t>
      </w:r>
    </w:p>
    <w:p w14:paraId="4D075358" w14:textId="77777777" w:rsidR="00B82526" w:rsidRDefault="00000000">
      <w:pPr>
        <w:numPr>
          <w:ilvl w:val="0"/>
          <w:numId w:val="5"/>
        </w:numPr>
        <w:spacing w:after="120" w:line="360" w:lineRule="auto"/>
        <w:jc w:val="both"/>
      </w:pPr>
      <w:r>
        <w:t xml:space="preserve">Model Pipeline: </w:t>
      </w:r>
      <w:proofErr w:type="spellStart"/>
      <w:r>
        <w:t>HistGradientBoosting</w:t>
      </w:r>
      <w:proofErr w:type="spellEnd"/>
      <w:r>
        <w:t xml:space="preserve"> produces failure probabilities.</w:t>
      </w:r>
    </w:p>
    <w:p w14:paraId="2D153F92" w14:textId="77777777" w:rsidR="00B82526" w:rsidRDefault="00000000">
      <w:pPr>
        <w:numPr>
          <w:ilvl w:val="0"/>
          <w:numId w:val="5"/>
        </w:numPr>
        <w:spacing w:after="120" w:line="360" w:lineRule="auto"/>
        <w:jc w:val="both"/>
      </w:pPr>
      <w:r>
        <w:t xml:space="preserve">Alerting Rule: High risk means that probability </w:t>
      </w:r>
      <w:proofErr w:type="gramStart"/>
      <w:r>
        <w:t>has to</w:t>
      </w:r>
      <w:proofErr w:type="gramEnd"/>
      <w:r>
        <w:t xml:space="preserve"> be greater than or equal to 0.10 for two consequent hours.</w:t>
      </w:r>
    </w:p>
    <w:p w14:paraId="23348D65" w14:textId="3927A235" w:rsidR="00B82526" w:rsidRDefault="00F222F3">
      <w:pPr>
        <w:pStyle w:val="Heading2"/>
      </w:pPr>
      <w:r>
        <w:t>9.2 Integration with Maintenance Plans (SAP PM / IBM Maximo)</w:t>
      </w:r>
    </w:p>
    <w:p w14:paraId="32212EDD" w14:textId="77777777" w:rsidR="00B82526" w:rsidRDefault="00000000">
      <w:pPr>
        <w:spacing w:after="200" w:line="360" w:lineRule="auto"/>
        <w:jc w:val="both"/>
      </w:pPr>
      <w:r>
        <w:t>When an alert triggers:</w:t>
      </w:r>
    </w:p>
    <w:p w14:paraId="3E0F9F97" w14:textId="77777777" w:rsidR="00B82526" w:rsidRDefault="00000000">
      <w:pPr>
        <w:numPr>
          <w:ilvl w:val="0"/>
          <w:numId w:val="6"/>
        </w:numPr>
        <w:spacing w:after="120" w:line="360" w:lineRule="auto"/>
        <w:jc w:val="both"/>
      </w:pPr>
      <w:r>
        <w:t>Automated Webhook: Triggers SAP PM/Maximo REST API and creates a priority 2 Work Order (Proactive Dozer Inspection within 12 hours).</w:t>
      </w:r>
    </w:p>
    <w:p w14:paraId="786A2C62" w14:textId="77777777" w:rsidR="00B82526" w:rsidRDefault="00000000">
      <w:pPr>
        <w:numPr>
          <w:ilvl w:val="0"/>
          <w:numId w:val="6"/>
        </w:numPr>
        <w:spacing w:after="120" w:line="360" w:lineRule="auto"/>
        <w:jc w:val="both"/>
      </w:pPr>
      <w:r>
        <w:t>Diagnosis: The work order is accompanied by a set of the highest impact contributing feature signals (e.g., "DZ-127: Sustained 24-hour hydraulic oil temperature rise and volatility"), allowing the mechanic to address the underlying problem straightaway.</w:t>
      </w:r>
    </w:p>
    <w:p w14:paraId="510FDAF6" w14:textId="502E5A42" w:rsidR="00B82526" w:rsidRDefault="00000000" w:rsidP="00F222F3">
      <w:pPr>
        <w:numPr>
          <w:ilvl w:val="0"/>
          <w:numId w:val="6"/>
        </w:numPr>
        <w:spacing w:after="120" w:line="360" w:lineRule="auto"/>
        <w:jc w:val="both"/>
      </w:pPr>
      <w:r>
        <w:t>Alert Suppression Time-Out: 24 hours time-out to prevent repetitive work orders for the same event.</w:t>
      </w:r>
      <w:r>
        <w:br w:type="page"/>
      </w:r>
    </w:p>
    <w:p w14:paraId="6850011B" w14:textId="77777777" w:rsidR="00B82526" w:rsidRDefault="00000000">
      <w:pPr>
        <w:pStyle w:val="Heading1"/>
      </w:pPr>
      <w:r>
        <w:t xml:space="preserve">10.  </w:t>
      </w:r>
      <w:proofErr w:type="spellStart"/>
      <w:r>
        <w:t>MLOps</w:t>
      </w:r>
      <w:proofErr w:type="spellEnd"/>
      <w:r>
        <w:t>: Robustness and Sensor Drift Monitoring</w:t>
      </w:r>
    </w:p>
    <w:p w14:paraId="60475EAB" w14:textId="77777777" w:rsidR="00B82526" w:rsidRDefault="00000000">
      <w:pPr>
        <w:spacing w:after="200" w:line="360" w:lineRule="auto"/>
        <w:jc w:val="both"/>
      </w:pPr>
      <w:r>
        <w:rPr>
          <w:b/>
          <w:bCs/>
        </w:rPr>
        <w:t xml:space="preserve">Missing Telemetry Handling: </w:t>
      </w:r>
      <w:r>
        <w:t>Synthetic missingness tests up to 30 percent showed the in-pipeline median imputer with missingness indicators maintains stable score generation without crashes.</w:t>
      </w:r>
    </w:p>
    <w:p w14:paraId="2D07BB9C" w14:textId="77777777" w:rsidR="00B82526" w:rsidRDefault="00000000">
      <w:pPr>
        <w:spacing w:after="200" w:line="360" w:lineRule="auto"/>
        <w:jc w:val="both"/>
      </w:pPr>
      <w:r>
        <w:t>Sensor Drift Tracking via Population Stability Index (PSI):</w:t>
      </w:r>
    </w:p>
    <w:p w14:paraId="146F203E" w14:textId="59F6A366" w:rsidR="002D0003" w:rsidRDefault="002D0003" w:rsidP="002D0003">
      <w:pPr>
        <w:spacing w:line="360" w:lineRule="auto"/>
        <w:jc w:val="both"/>
        <w:rPr>
          <w:b/>
          <w:bCs/>
          <w:i/>
          <w:iCs/>
          <w:sz w:val="22"/>
          <w:szCs w:val="22"/>
        </w:rPr>
      </w:pPr>
      <w:r w:rsidRPr="002D0003">
        <w:rPr>
          <w:b/>
          <w:bCs/>
          <w:i/>
          <w:iCs/>
          <w:sz w:val="22"/>
          <w:szCs w:val="22"/>
        </w:rPr>
        <w:t xml:space="preserve">Table 3: Population Stability Index (PSI) Thresholds and </w:t>
      </w:r>
      <w:proofErr w:type="spellStart"/>
      <w:r w:rsidRPr="002D0003">
        <w:rPr>
          <w:b/>
          <w:bCs/>
          <w:i/>
          <w:iCs/>
          <w:sz w:val="22"/>
          <w:szCs w:val="22"/>
        </w:rPr>
        <w:t>MLOps</w:t>
      </w:r>
      <w:proofErr w:type="spellEnd"/>
      <w:r w:rsidRPr="002D0003">
        <w:rPr>
          <w:b/>
          <w:bCs/>
          <w:i/>
          <w:iCs/>
          <w:sz w:val="22"/>
          <w:szCs w:val="22"/>
        </w:rPr>
        <w:t xml:space="preserve"> Trigger Actions</w:t>
      </w:r>
    </w:p>
    <w:tbl>
      <w:tblPr>
        <w:tblStyle w:val="TableGrid"/>
        <w:tblW w:w="0" w:type="auto"/>
        <w:tblLook w:val="04A0" w:firstRow="1" w:lastRow="0" w:firstColumn="1" w:lastColumn="0" w:noHBand="0" w:noVBand="1"/>
      </w:tblPr>
      <w:tblGrid>
        <w:gridCol w:w="1676"/>
        <w:gridCol w:w="2505"/>
        <w:gridCol w:w="5169"/>
      </w:tblGrid>
      <w:tr w:rsidR="00AA0EC2" w:rsidRPr="00AA0EC2" w14:paraId="4060CEDD" w14:textId="77777777" w:rsidTr="00AA0EC2">
        <w:tc>
          <w:tcPr>
            <w:tcW w:w="0" w:type="auto"/>
            <w:hideMark/>
          </w:tcPr>
          <w:p w14:paraId="7D071E0F" w14:textId="77777777" w:rsidR="00AA0EC2" w:rsidRPr="00AA0EC2" w:rsidRDefault="00AA0EC2" w:rsidP="00AA0EC2">
            <w:pPr>
              <w:spacing w:line="360" w:lineRule="auto"/>
              <w:rPr>
                <w:rFonts w:eastAsia="Times New Roman"/>
                <w:b/>
                <w:bCs/>
              </w:rPr>
            </w:pPr>
            <w:r w:rsidRPr="00AA0EC2">
              <w:rPr>
                <w:rFonts w:eastAsia="Times New Roman"/>
                <w:b/>
                <w:bCs/>
              </w:rPr>
              <w:t>PSI Range</w:t>
            </w:r>
          </w:p>
        </w:tc>
        <w:tc>
          <w:tcPr>
            <w:tcW w:w="0" w:type="auto"/>
            <w:hideMark/>
          </w:tcPr>
          <w:p w14:paraId="151920DC" w14:textId="77777777" w:rsidR="00AA0EC2" w:rsidRPr="00AA0EC2" w:rsidRDefault="00AA0EC2" w:rsidP="00AA0EC2">
            <w:pPr>
              <w:spacing w:line="360" w:lineRule="auto"/>
              <w:rPr>
                <w:rFonts w:eastAsia="Times New Roman"/>
                <w:b/>
                <w:bCs/>
              </w:rPr>
            </w:pPr>
            <w:r w:rsidRPr="00AA0EC2">
              <w:rPr>
                <w:rFonts w:eastAsia="Times New Roman"/>
                <w:b/>
                <w:bCs/>
              </w:rPr>
              <w:t>Statistical Interpretation</w:t>
            </w:r>
          </w:p>
        </w:tc>
        <w:tc>
          <w:tcPr>
            <w:tcW w:w="0" w:type="auto"/>
            <w:hideMark/>
          </w:tcPr>
          <w:p w14:paraId="000E51B2" w14:textId="77777777" w:rsidR="00AA0EC2" w:rsidRPr="00AA0EC2" w:rsidRDefault="00AA0EC2" w:rsidP="00AA0EC2">
            <w:pPr>
              <w:spacing w:line="360" w:lineRule="auto"/>
              <w:rPr>
                <w:rFonts w:eastAsia="Times New Roman"/>
                <w:b/>
                <w:bCs/>
              </w:rPr>
            </w:pPr>
            <w:r w:rsidRPr="00AA0EC2">
              <w:rPr>
                <w:rFonts w:eastAsia="Times New Roman"/>
                <w:b/>
                <w:bCs/>
              </w:rPr>
              <w:t>Operational Trigger Action</w:t>
            </w:r>
          </w:p>
        </w:tc>
      </w:tr>
      <w:tr w:rsidR="00AA0EC2" w:rsidRPr="00AA0EC2" w14:paraId="36E7E6AD" w14:textId="77777777" w:rsidTr="00AA0EC2">
        <w:tc>
          <w:tcPr>
            <w:tcW w:w="0" w:type="auto"/>
            <w:hideMark/>
          </w:tcPr>
          <w:p w14:paraId="5CECCCC7" w14:textId="77777777" w:rsidR="00AA0EC2" w:rsidRPr="00AA0EC2" w:rsidRDefault="00AA0EC2" w:rsidP="00AA0EC2">
            <w:pPr>
              <w:spacing w:line="360" w:lineRule="auto"/>
              <w:rPr>
                <w:rFonts w:eastAsia="Times New Roman"/>
              </w:rPr>
            </w:pPr>
            <m:oMathPara>
              <m:oMath>
                <m:r>
                  <m:rPr>
                    <m:nor/>
                  </m:rPr>
                  <w:rPr>
                    <w:rFonts w:eastAsia="Times New Roman"/>
                  </w:rPr>
                  <m:t>PSI</m:t>
                </m:r>
                <m:r>
                  <w:rPr>
                    <w:rFonts w:ascii="Cambria Math" w:eastAsia="Times New Roman" w:hAnsi="Cambria Math"/>
                  </w:rPr>
                  <m:t>&lt;0.10</m:t>
                </m:r>
              </m:oMath>
            </m:oMathPara>
          </w:p>
        </w:tc>
        <w:tc>
          <w:tcPr>
            <w:tcW w:w="0" w:type="auto"/>
            <w:hideMark/>
          </w:tcPr>
          <w:p w14:paraId="0378C344" w14:textId="77777777" w:rsidR="00AA0EC2" w:rsidRPr="00AA0EC2" w:rsidRDefault="00AA0EC2" w:rsidP="00AA0EC2">
            <w:pPr>
              <w:spacing w:line="360" w:lineRule="auto"/>
              <w:rPr>
                <w:rFonts w:eastAsia="Times New Roman"/>
              </w:rPr>
            </w:pPr>
            <w:r w:rsidRPr="00AA0EC2">
              <w:rPr>
                <w:rFonts w:eastAsia="Times New Roman"/>
              </w:rPr>
              <w:t>Stable distribution</w:t>
            </w:r>
          </w:p>
        </w:tc>
        <w:tc>
          <w:tcPr>
            <w:tcW w:w="0" w:type="auto"/>
            <w:hideMark/>
          </w:tcPr>
          <w:p w14:paraId="4AE7BA6E" w14:textId="77777777" w:rsidR="00AA0EC2" w:rsidRPr="00AA0EC2" w:rsidRDefault="00AA0EC2" w:rsidP="00AA0EC2">
            <w:pPr>
              <w:spacing w:line="360" w:lineRule="auto"/>
              <w:rPr>
                <w:rFonts w:eastAsia="Times New Roman"/>
              </w:rPr>
            </w:pPr>
            <w:r w:rsidRPr="00AA0EC2">
              <w:rPr>
                <w:rFonts w:eastAsia="Times New Roman"/>
              </w:rPr>
              <w:t>Normal fleet monitoring; no intervention required.</w:t>
            </w:r>
          </w:p>
        </w:tc>
      </w:tr>
      <w:tr w:rsidR="00AA0EC2" w:rsidRPr="00AA0EC2" w14:paraId="76A52944" w14:textId="77777777" w:rsidTr="00AA0EC2">
        <w:tc>
          <w:tcPr>
            <w:tcW w:w="0" w:type="auto"/>
            <w:hideMark/>
          </w:tcPr>
          <w:p w14:paraId="79895715" w14:textId="77777777" w:rsidR="00AA0EC2" w:rsidRPr="00AA0EC2" w:rsidRDefault="00AA0EC2" w:rsidP="00AA0EC2">
            <w:pPr>
              <w:spacing w:line="360" w:lineRule="auto"/>
              <w:rPr>
                <w:rFonts w:eastAsia="Times New Roman"/>
              </w:rPr>
            </w:pPr>
            <m:oMathPara>
              <m:oMath>
                <m:r>
                  <w:rPr>
                    <w:rFonts w:ascii="Cambria Math" w:eastAsia="Times New Roman" w:hAnsi="Cambria Math"/>
                  </w:rPr>
                  <m:t>0.10≤</m:t>
                </m:r>
                <m:r>
                  <m:rPr>
                    <m:nor/>
                  </m:rPr>
                  <w:rPr>
                    <w:rFonts w:eastAsia="Times New Roman"/>
                  </w:rPr>
                  <m:t>PSI</m:t>
                </m:r>
                <m:r>
                  <w:rPr>
                    <w:rFonts w:ascii="Cambria Math" w:eastAsia="Times New Roman" w:hAnsi="Cambria Math"/>
                  </w:rPr>
                  <m:t>&lt;0.25</m:t>
                </m:r>
              </m:oMath>
            </m:oMathPara>
          </w:p>
        </w:tc>
        <w:tc>
          <w:tcPr>
            <w:tcW w:w="0" w:type="auto"/>
            <w:hideMark/>
          </w:tcPr>
          <w:p w14:paraId="24DEB179" w14:textId="77777777" w:rsidR="00AA0EC2" w:rsidRPr="00AA0EC2" w:rsidRDefault="00AA0EC2" w:rsidP="00AA0EC2">
            <w:pPr>
              <w:spacing w:line="360" w:lineRule="auto"/>
              <w:rPr>
                <w:rFonts w:eastAsia="Times New Roman"/>
              </w:rPr>
            </w:pPr>
            <w:r w:rsidRPr="00AA0EC2">
              <w:rPr>
                <w:rFonts w:eastAsia="Times New Roman"/>
              </w:rPr>
              <w:t>Moderate distribution drift</w:t>
            </w:r>
          </w:p>
        </w:tc>
        <w:tc>
          <w:tcPr>
            <w:tcW w:w="0" w:type="auto"/>
            <w:hideMark/>
          </w:tcPr>
          <w:p w14:paraId="0E4B37B7" w14:textId="77777777" w:rsidR="00AA0EC2" w:rsidRPr="00AA0EC2" w:rsidRDefault="00AA0EC2" w:rsidP="00AA0EC2">
            <w:pPr>
              <w:spacing w:line="360" w:lineRule="auto"/>
              <w:rPr>
                <w:rFonts w:eastAsia="Times New Roman"/>
              </w:rPr>
            </w:pPr>
            <w:r w:rsidRPr="00AA0EC2">
              <w:rPr>
                <w:rFonts w:eastAsia="Times New Roman"/>
              </w:rPr>
              <w:t>Issue warning; technician checks and recalibrates physical sensors.</w:t>
            </w:r>
          </w:p>
        </w:tc>
      </w:tr>
      <w:tr w:rsidR="00AA0EC2" w:rsidRPr="00AA0EC2" w14:paraId="1C5EFD17" w14:textId="77777777" w:rsidTr="00AA0EC2">
        <w:tc>
          <w:tcPr>
            <w:tcW w:w="0" w:type="auto"/>
            <w:hideMark/>
          </w:tcPr>
          <w:p w14:paraId="392D01FA" w14:textId="77777777" w:rsidR="00AA0EC2" w:rsidRPr="00AA0EC2" w:rsidRDefault="00AA0EC2" w:rsidP="00AA0EC2">
            <w:pPr>
              <w:spacing w:line="360" w:lineRule="auto"/>
              <w:rPr>
                <w:rFonts w:eastAsia="Times New Roman"/>
              </w:rPr>
            </w:pPr>
            <m:oMathPara>
              <m:oMath>
                <m:r>
                  <m:rPr>
                    <m:nor/>
                  </m:rPr>
                  <w:rPr>
                    <w:rFonts w:eastAsia="Times New Roman"/>
                  </w:rPr>
                  <m:t>PSI</m:t>
                </m:r>
                <m:r>
                  <w:rPr>
                    <w:rFonts w:ascii="Cambria Math" w:eastAsia="Times New Roman" w:hAnsi="Cambria Math"/>
                  </w:rPr>
                  <m:t>≥0.25</m:t>
                </m:r>
              </m:oMath>
            </m:oMathPara>
          </w:p>
        </w:tc>
        <w:tc>
          <w:tcPr>
            <w:tcW w:w="0" w:type="auto"/>
            <w:hideMark/>
          </w:tcPr>
          <w:p w14:paraId="0EB1996F" w14:textId="77777777" w:rsidR="00AA0EC2" w:rsidRPr="00AA0EC2" w:rsidRDefault="00AA0EC2" w:rsidP="00AA0EC2">
            <w:pPr>
              <w:spacing w:line="360" w:lineRule="auto"/>
              <w:rPr>
                <w:rFonts w:eastAsia="Times New Roman"/>
              </w:rPr>
            </w:pPr>
            <w:r w:rsidRPr="00AA0EC2">
              <w:rPr>
                <w:rFonts w:eastAsia="Times New Roman"/>
              </w:rPr>
              <w:t>Severe distribution drift</w:t>
            </w:r>
          </w:p>
        </w:tc>
        <w:tc>
          <w:tcPr>
            <w:tcW w:w="0" w:type="auto"/>
            <w:hideMark/>
          </w:tcPr>
          <w:p w14:paraId="4E57E0FC" w14:textId="77777777" w:rsidR="00AA0EC2" w:rsidRPr="00AA0EC2" w:rsidRDefault="00AA0EC2" w:rsidP="00AA0EC2">
            <w:pPr>
              <w:spacing w:line="360" w:lineRule="auto"/>
              <w:rPr>
                <w:rFonts w:eastAsia="Times New Roman"/>
              </w:rPr>
            </w:pPr>
            <w:r w:rsidRPr="00AA0EC2">
              <w:rPr>
                <w:rFonts w:eastAsia="Times New Roman"/>
              </w:rPr>
              <w:t>Trigger fallback heuristics and schedule pipeline model retraining.</w:t>
            </w:r>
          </w:p>
        </w:tc>
      </w:tr>
    </w:tbl>
    <w:p w14:paraId="44F2C58F" w14:textId="3AC97B0B" w:rsidR="00B82526" w:rsidRDefault="00000000" w:rsidP="00AA0EC2">
      <w:pPr>
        <w:spacing w:before="240" w:after="200" w:line="360" w:lineRule="auto"/>
        <w:jc w:val="both"/>
      </w:pPr>
      <w:r>
        <w:rPr>
          <w:b/>
          <w:bCs/>
        </w:rPr>
        <w:t xml:space="preserve">Retraining Cadence: </w:t>
      </w:r>
      <w:r>
        <w:t>Scheduled quarterly retraining, plus event-driven retraining whenever a newly validated mechanical breakdown is logged.</w:t>
      </w:r>
    </w:p>
    <w:p w14:paraId="3091E77A" w14:textId="77777777" w:rsidR="00B82526" w:rsidRDefault="00000000">
      <w:pPr>
        <w:pStyle w:val="Heading1"/>
      </w:pPr>
      <w:r>
        <w:t>11.  Limitations and Next Steps</w:t>
      </w:r>
    </w:p>
    <w:p w14:paraId="6869F5B4" w14:textId="77777777" w:rsidR="00B82526" w:rsidRDefault="00000000">
      <w:pPr>
        <w:numPr>
          <w:ilvl w:val="0"/>
          <w:numId w:val="7"/>
        </w:numPr>
        <w:spacing w:after="120" w:line="360" w:lineRule="auto"/>
        <w:jc w:val="both"/>
      </w:pPr>
      <w:r>
        <w:t>Insufficient Breakdown Sample Size: There are only two breakdowns in the data set. The fleet should operate in a shadow environment for 60 to 90 days in parallel with the dispatchers to enable automated work order generation.</w:t>
      </w:r>
    </w:p>
    <w:p w14:paraId="4403F80C" w14:textId="77777777" w:rsidR="00B82526" w:rsidRDefault="00000000">
      <w:pPr>
        <w:numPr>
          <w:ilvl w:val="0"/>
          <w:numId w:val="7"/>
        </w:numPr>
        <w:spacing w:after="120" w:line="360" w:lineRule="auto"/>
        <w:jc w:val="both"/>
      </w:pPr>
      <w:r>
        <w:t>Granularity of Subsystems: Currently, the model estimates binary breakdown probability. With increasing telemetry, the pipeline can be developed to multi-class classification for the identification of wear in Engine, Hydraulics, or Transmission.</w:t>
      </w:r>
    </w:p>
    <w:p w14:paraId="674FAF49" w14:textId="77777777" w:rsidR="00B82526" w:rsidRDefault="00000000">
      <w:pPr>
        <w:numPr>
          <w:ilvl w:val="0"/>
          <w:numId w:val="7"/>
        </w:numPr>
        <w:spacing w:after="120" w:line="360" w:lineRule="auto"/>
        <w:jc w:val="both"/>
      </w:pPr>
      <w:r>
        <w:t>Unobserved Covariates: The telemetry does not have any operator IDs, ambient weather temperature, or pit grade maps.</w:t>
      </w:r>
    </w:p>
    <w:sectPr w:rsidR="00B82526">
      <w:footerReference w:type="default" r:id="rId20"/>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240D9A" w14:textId="77777777" w:rsidR="00DC20B3" w:rsidRDefault="00DC20B3">
      <w:r>
        <w:separator/>
      </w:r>
    </w:p>
  </w:endnote>
  <w:endnote w:type="continuationSeparator" w:id="0">
    <w:p w14:paraId="3F4F9C1B" w14:textId="77777777" w:rsidR="00DC20B3" w:rsidRDefault="00DC20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BAE6BEC-3793-443B-B1A2-42EE21D9CCFF}"/>
  </w:font>
  <w:font w:name="Segoe UI">
    <w:panose1 w:val="020B0502040204020203"/>
    <w:charset w:val="00"/>
    <w:family w:val="swiss"/>
    <w:pitch w:val="variable"/>
    <w:sig w:usb0="E4002EFF" w:usb1="C000E47F" w:usb2="00000009" w:usb3="00000000" w:csb0="000001FF" w:csb1="00000000"/>
    <w:embedRegular r:id="rId2" w:fontKey="{368395A6-4B4A-452B-8A6E-44888DD199F2}"/>
    <w:embedBold r:id="rId3" w:fontKey="{7BAB304C-C3D1-4A46-97E3-FDAADB0EE19C}"/>
  </w:font>
  <w:font w:name="Cambria Math">
    <w:panose1 w:val="02040503050406030204"/>
    <w:charset w:val="00"/>
    <w:family w:val="roman"/>
    <w:pitch w:val="variable"/>
    <w:sig w:usb0="E00006FF" w:usb1="420024FF" w:usb2="02000000" w:usb3="00000000" w:csb0="0000019F" w:csb1="00000000"/>
    <w:embedItalic r:id="rId4" w:fontKey="{6DF7EEB3-8E28-4601-A878-2C1434164CDA}"/>
    <w:embedBoldItalic r:id="rId5" w:fontKey="{267E6C9A-CB70-4DD3-8738-8FB54234375E}"/>
  </w:font>
  <w:font w:name="Calibri">
    <w:panose1 w:val="020F0502020204030204"/>
    <w:charset w:val="00"/>
    <w:family w:val="swiss"/>
    <w:pitch w:val="variable"/>
    <w:sig w:usb0="E4002EFF" w:usb1="C200247B" w:usb2="00000009" w:usb3="00000000" w:csb0="000001FF" w:csb1="00000000"/>
    <w:embedRegular r:id="rId6" w:fontKey="{2571BB55-F1BD-46F0-81E9-906EC30CD8F7}"/>
  </w:font>
  <w:font w:name="Cambria">
    <w:panose1 w:val="02040503050406030204"/>
    <w:charset w:val="00"/>
    <w:family w:val="roman"/>
    <w:pitch w:val="variable"/>
    <w:sig w:usb0="E00006FF" w:usb1="420024FF" w:usb2="02000000" w:usb3="00000000" w:csb0="0000019F" w:csb1="00000000"/>
    <w:embedRegular r:id="rId7" w:fontKey="{BB7D79E2-889D-4F5A-A650-0A5C77A3CD3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260CF" w14:textId="7AC51797" w:rsidR="00B82526" w:rsidRDefault="00B82526" w:rsidP="00A87967">
    <w:pPr>
      <w:tabs>
        <w:tab w:val="left" w:pos="3612"/>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7652898"/>
      <w:docPartObj>
        <w:docPartGallery w:val="Page Numbers (Bottom of Page)"/>
        <w:docPartUnique/>
      </w:docPartObj>
    </w:sdtPr>
    <w:sdtEndPr>
      <w:rPr>
        <w:noProof/>
      </w:rPr>
    </w:sdtEndPr>
    <w:sdtContent>
      <w:p w14:paraId="1B0B5E53" w14:textId="61B04DD8" w:rsidR="00A87967" w:rsidRDefault="00A87967">
        <w:pPr>
          <w:pStyle w:val="Footer"/>
          <w:jc w:val="center"/>
        </w:pPr>
        <w:r>
          <w:rPr>
            <w:noProof/>
          </w:rPr>
          <w:drawing>
            <wp:anchor distT="0" distB="0" distL="114300" distR="114300" simplePos="0" relativeHeight="251660288" behindDoc="1" locked="0" layoutInCell="1" allowOverlap="1" wp14:anchorId="28317252" wp14:editId="2269C27E">
              <wp:simplePos x="0" y="0"/>
              <wp:positionH relativeFrom="column">
                <wp:posOffset>5852160</wp:posOffset>
              </wp:positionH>
              <wp:positionV relativeFrom="paragraph">
                <wp:posOffset>-121920</wp:posOffset>
              </wp:positionV>
              <wp:extent cx="898525" cy="793115"/>
              <wp:effectExtent l="0" t="0" r="0" b="6985"/>
              <wp:wrapNone/>
              <wp:docPr id="18270846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882627" name="Picture 1881882627"/>
                      <pic:cNvPicPr/>
                    </pic:nvPicPr>
                    <pic:blipFill>
                      <a:blip r:embed="rId1">
                        <a:extLst>
                          <a:ext uri="{28A0092B-C50C-407E-A947-70E740481C1C}">
                            <a14:useLocalDpi xmlns:a14="http://schemas.microsoft.com/office/drawing/2010/main" val="0"/>
                          </a:ext>
                        </a:extLst>
                      </a:blip>
                      <a:stretch>
                        <a:fillRect/>
                      </a:stretch>
                    </pic:blipFill>
                    <pic:spPr>
                      <a:xfrm>
                        <a:off x="0" y="0"/>
                        <a:ext cx="898525" cy="793115"/>
                      </a:xfrm>
                      <a:prstGeom prst="rect">
                        <a:avLst/>
                      </a:prstGeom>
                    </pic:spPr>
                  </pic:pic>
                </a:graphicData>
              </a:graphic>
              <wp14:sizeRelH relativeFrom="page">
                <wp14:pctWidth>0</wp14:pctWidth>
              </wp14:sizeRelH>
              <wp14:sizeRelV relativeFrom="page">
                <wp14:pctHeight>0</wp14:pctHeight>
              </wp14:sizeRelV>
            </wp:anchor>
          </w:drawing>
        </w:r>
        <w:r>
          <w:fldChar w:fldCharType="begin"/>
        </w:r>
        <w:r>
          <w:instrText xml:space="preserve"> PAGE   \* MERGEFORMAT </w:instrText>
        </w:r>
        <w:r>
          <w:fldChar w:fldCharType="separate"/>
        </w:r>
        <w:r>
          <w:rPr>
            <w:noProof/>
          </w:rPr>
          <w:t>2</w:t>
        </w:r>
        <w:r>
          <w:rPr>
            <w:noProof/>
          </w:rPr>
          <w:fldChar w:fldCharType="end"/>
        </w:r>
      </w:p>
    </w:sdtContent>
  </w:sdt>
  <w:p w14:paraId="1F5E1466" w14:textId="3127DF5A" w:rsidR="00A87967" w:rsidRDefault="00A87967" w:rsidP="00A87967">
    <w:pPr>
      <w:tabs>
        <w:tab w:val="left" w:pos="3612"/>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9157957"/>
      <w:docPartObj>
        <w:docPartGallery w:val="Page Numbers (Bottom of Page)"/>
        <w:docPartUnique/>
      </w:docPartObj>
    </w:sdtPr>
    <w:sdtEndPr>
      <w:rPr>
        <w:noProof/>
      </w:rPr>
    </w:sdtEndPr>
    <w:sdtContent>
      <w:p w14:paraId="1D1865D5" w14:textId="5C5F999C" w:rsidR="00A87967" w:rsidRDefault="00A87967">
        <w:pPr>
          <w:pStyle w:val="Footer"/>
          <w:jc w:val="center"/>
        </w:pPr>
        <w:r>
          <w:rPr>
            <w:noProof/>
          </w:rPr>
          <w:drawing>
            <wp:anchor distT="0" distB="0" distL="114300" distR="114300" simplePos="0" relativeHeight="251658240" behindDoc="1" locked="0" layoutInCell="1" allowOverlap="1" wp14:anchorId="161CD38A" wp14:editId="74BDC917">
              <wp:simplePos x="0" y="0"/>
              <wp:positionH relativeFrom="column">
                <wp:posOffset>5821680</wp:posOffset>
              </wp:positionH>
              <wp:positionV relativeFrom="paragraph">
                <wp:posOffset>-121920</wp:posOffset>
              </wp:positionV>
              <wp:extent cx="898525" cy="793115"/>
              <wp:effectExtent l="0" t="0" r="0" b="6985"/>
              <wp:wrapNone/>
              <wp:docPr id="18818826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882627" name="Picture 1881882627"/>
                      <pic:cNvPicPr/>
                    </pic:nvPicPr>
                    <pic:blipFill>
                      <a:blip r:embed="rId1">
                        <a:extLst>
                          <a:ext uri="{28A0092B-C50C-407E-A947-70E740481C1C}">
                            <a14:useLocalDpi xmlns:a14="http://schemas.microsoft.com/office/drawing/2010/main" val="0"/>
                          </a:ext>
                        </a:extLst>
                      </a:blip>
                      <a:stretch>
                        <a:fillRect/>
                      </a:stretch>
                    </pic:blipFill>
                    <pic:spPr>
                      <a:xfrm>
                        <a:off x="0" y="0"/>
                        <a:ext cx="898525" cy="793115"/>
                      </a:xfrm>
                      <a:prstGeom prst="rect">
                        <a:avLst/>
                      </a:prstGeom>
                    </pic:spPr>
                  </pic:pic>
                </a:graphicData>
              </a:graphic>
              <wp14:sizeRelH relativeFrom="page">
                <wp14:pctWidth>0</wp14:pctWidth>
              </wp14:sizeRelH>
              <wp14:sizeRelV relativeFrom="page">
                <wp14:pctHeight>0</wp14:pctHeight>
              </wp14:sizeRelV>
            </wp:anchor>
          </w:drawing>
        </w:r>
        <w:r>
          <w:fldChar w:fldCharType="begin"/>
        </w:r>
        <w:r>
          <w:instrText xml:space="preserve"> PAGE   \* MERGEFORMAT </w:instrText>
        </w:r>
        <w:r>
          <w:fldChar w:fldCharType="separate"/>
        </w:r>
        <w:r>
          <w:rPr>
            <w:noProof/>
          </w:rPr>
          <w:t>2</w:t>
        </w:r>
        <w:r>
          <w:rPr>
            <w:noProof/>
          </w:rPr>
          <w:fldChar w:fldCharType="end"/>
        </w:r>
      </w:p>
    </w:sdtContent>
  </w:sdt>
  <w:p w14:paraId="7358D513" w14:textId="77777777" w:rsidR="00A87967" w:rsidRDefault="00A87967" w:rsidP="00A87967">
    <w:pPr>
      <w:tabs>
        <w:tab w:val="left" w:pos="3612"/>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5108D" w14:textId="77777777" w:rsidR="00DC20B3" w:rsidRDefault="00DC20B3">
      <w:r>
        <w:separator/>
      </w:r>
    </w:p>
  </w:footnote>
  <w:footnote w:type="continuationSeparator" w:id="0">
    <w:p w14:paraId="52A20E48" w14:textId="77777777" w:rsidR="00DC20B3" w:rsidRDefault="00DC20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E069D" w14:textId="77777777" w:rsidR="00B82526" w:rsidRDefault="00B82526">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03974"/>
    <w:multiLevelType w:val="multilevel"/>
    <w:tmpl w:val="CC4899F4"/>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0EC24E87"/>
    <w:multiLevelType w:val="multilevel"/>
    <w:tmpl w:val="C9B84CFC"/>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2F633684"/>
    <w:multiLevelType w:val="multilevel"/>
    <w:tmpl w:val="5856418C"/>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38C47AD0"/>
    <w:multiLevelType w:val="multilevel"/>
    <w:tmpl w:val="A754AD10"/>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597767CF"/>
    <w:multiLevelType w:val="multilevel"/>
    <w:tmpl w:val="0512E9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59A37E03"/>
    <w:multiLevelType w:val="multilevel"/>
    <w:tmpl w:val="3E1C129C"/>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5D5A0948"/>
    <w:multiLevelType w:val="multilevel"/>
    <w:tmpl w:val="7D64C4AC"/>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352347642">
    <w:abstractNumId w:val="4"/>
  </w:num>
  <w:num w:numId="2" w16cid:durableId="1951232834">
    <w:abstractNumId w:val="0"/>
  </w:num>
  <w:num w:numId="3" w16cid:durableId="220408216">
    <w:abstractNumId w:val="5"/>
  </w:num>
  <w:num w:numId="4" w16cid:durableId="1685470407">
    <w:abstractNumId w:val="6"/>
  </w:num>
  <w:num w:numId="5" w16cid:durableId="1659847880">
    <w:abstractNumId w:val="3"/>
  </w:num>
  <w:num w:numId="6" w16cid:durableId="1568685302">
    <w:abstractNumId w:val="1"/>
  </w:num>
  <w:num w:numId="7" w16cid:durableId="14427250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2526"/>
    <w:rsid w:val="00174FFA"/>
    <w:rsid w:val="001C71E0"/>
    <w:rsid w:val="001D49E7"/>
    <w:rsid w:val="0020715F"/>
    <w:rsid w:val="002D0003"/>
    <w:rsid w:val="00357D75"/>
    <w:rsid w:val="00871495"/>
    <w:rsid w:val="0096027B"/>
    <w:rsid w:val="00A87967"/>
    <w:rsid w:val="00AA0EC2"/>
    <w:rsid w:val="00B82526"/>
    <w:rsid w:val="00DC20B3"/>
    <w:rsid w:val="00E41C66"/>
    <w:rsid w:val="00E466F6"/>
    <w:rsid w:val="00F222F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099409"/>
  <w15:docId w15:val="{D95867C2-4D75-464D-BD4D-9FB203F2A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400" w:after="200"/>
      <w:outlineLvl w:val="0"/>
    </w:pPr>
    <w:rPr>
      <w:b/>
      <w:bCs/>
      <w:color w:val="000000"/>
      <w:sz w:val="30"/>
      <w:szCs w:val="30"/>
    </w:rPr>
  </w:style>
  <w:style w:type="paragraph" w:styleId="Heading2">
    <w:name w:val="heading 2"/>
    <w:basedOn w:val="Normal"/>
    <w:next w:val="Normal"/>
    <w:uiPriority w:val="9"/>
    <w:unhideWhenUsed/>
    <w:qFormat/>
    <w:pPr>
      <w:pBdr>
        <w:top w:val="nil"/>
        <w:left w:val="nil"/>
        <w:bottom w:val="nil"/>
        <w:right w:val="nil"/>
        <w:between w:val="nil"/>
      </w:pBdr>
      <w:spacing w:before="300" w:after="150"/>
      <w:outlineLvl w:val="1"/>
    </w:pPr>
    <w:rPr>
      <w:b/>
      <w:bCs/>
      <w:color w:val="000000"/>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A87967"/>
    <w:pPr>
      <w:tabs>
        <w:tab w:val="center" w:pos="4513"/>
        <w:tab w:val="right" w:pos="9026"/>
      </w:tabs>
    </w:pPr>
  </w:style>
  <w:style w:type="character" w:customStyle="1" w:styleId="HeaderChar">
    <w:name w:val="Header Char"/>
    <w:basedOn w:val="DefaultParagraphFont"/>
    <w:link w:val="Header"/>
    <w:uiPriority w:val="99"/>
    <w:rsid w:val="00A87967"/>
  </w:style>
  <w:style w:type="paragraph" w:styleId="Footer">
    <w:name w:val="footer"/>
    <w:basedOn w:val="Normal"/>
    <w:link w:val="FooterChar"/>
    <w:uiPriority w:val="99"/>
    <w:unhideWhenUsed/>
    <w:rsid w:val="00A87967"/>
    <w:pPr>
      <w:tabs>
        <w:tab w:val="center" w:pos="4513"/>
        <w:tab w:val="right" w:pos="9026"/>
      </w:tabs>
    </w:pPr>
  </w:style>
  <w:style w:type="character" w:customStyle="1" w:styleId="FooterChar">
    <w:name w:val="Footer Char"/>
    <w:basedOn w:val="DefaultParagraphFont"/>
    <w:link w:val="Footer"/>
    <w:uiPriority w:val="99"/>
    <w:rsid w:val="00A87967"/>
  </w:style>
  <w:style w:type="table" w:styleId="TableGrid">
    <w:name w:val="Table Grid"/>
    <w:basedOn w:val="TableNormal"/>
    <w:uiPriority w:val="39"/>
    <w:rsid w:val="009602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41C6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footer" Target="footer2.xm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18</Pages>
  <Words>2527</Words>
  <Characters>14407</Characters>
  <Application>Microsoft Office Word</Application>
  <DocSecurity>0</DocSecurity>
  <Lines>120</Lines>
  <Paragraphs>33</Paragraphs>
  <ScaleCrop>false</ScaleCrop>
  <HeadingPairs>
    <vt:vector size="4" baseType="variant">
      <vt:variant>
        <vt:lpstr>Title</vt:lpstr>
      </vt:variant>
      <vt:variant>
        <vt:i4>1</vt:i4>
      </vt:variant>
      <vt:variant>
        <vt:lpstr>Headings</vt:lpstr>
      </vt:variant>
      <vt:variant>
        <vt:i4>26</vt:i4>
      </vt:variant>
    </vt:vector>
  </HeadingPairs>
  <TitlesOfParts>
    <vt:vector size="27" baseType="lpstr">
      <vt:lpstr/>
      <vt:lpstr>Table of Contents</vt:lpstr>
      <vt:lpstr>List of Abbreviations</vt:lpstr>
      <vt:lpstr/>
      <vt:lpstr>1.  Introduction and Problem Context</vt:lpstr>
      <vt:lpstr>2.  Problem Formulation and Target Justification</vt:lpstr>
      <vt:lpstr>    2.1 The Prediction Target Definition</vt:lpstr>
      <vt:lpstr>    2.2 Why 24 Operating Hours?</vt:lpstr>
      <vt:lpstr>    2.3 Distinguishing Ground Truth from OEM Thresholds</vt:lpstr>
      <vt:lpstr/>
      <vt:lpstr>3.  Exploratory Data Analysis and Data Science Diagnostics</vt:lpstr>
      <vt:lpstr>    3.1 Sensor Multicollinearity Analysis</vt:lpstr>
      <vt:lpstr>    3.2 Transient Spikes versus True Degradation: The DZ-142 False Alarm</vt:lpstr>
      <vt:lpstr/>
      <vt:lpstr>4.  Time-Series Leakage Prevention and Validation Strategy</vt:lpstr>
      <vt:lpstr>5.  Feature Engineering (407 Covariates)</vt:lpstr>
      <vt:lpstr>6.  Model Benchmarking and Out-of-Fold Results</vt:lpstr>
      <vt:lpstr>    6.1 Chronological Out-of-Fold Test Results (Evaluating Unseen Failure on DZ-118)</vt:lpstr>
      <vt:lpstr>    6.2 Why PR-AUC and Operational Threshold Tuning Are Essential</vt:lpstr>
      <vt:lpstr>    6.3 Sensor Forecasting Baselines</vt:lpstr>
      <vt:lpstr>7.  Case Study: Resolution of the DZ-142 False Alarm</vt:lpstr>
      <vt:lpstr>8.  Business Outcome and Cost Asymmetry</vt:lpstr>
      <vt:lpstr>9.  Production Systems Architecture and CMMS Integration</vt:lpstr>
      <vt:lpstr>    9.1 Production Monitoring Flow</vt:lpstr>
      <vt:lpstr>    9.2 Integration with Maintenance Plans (SAP PM / IBM Maximo)</vt:lpstr>
      <vt:lpstr>10.  MLOps: Robustness and Sensor Drift Monitoring</vt:lpstr>
      <vt:lpstr>11.  Limitations and Next Steps</vt:lpstr>
    </vt:vector>
  </TitlesOfParts>
  <Company/>
  <LinksUpToDate>false</LinksUpToDate>
  <CharactersWithSpaces>16901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Given Manyike</dc:creator>
  <cp:lastModifiedBy>GIVEN MANYIKE</cp:lastModifiedBy>
  <cp:revision>5</cp:revision>
  <cp:lastPrinted>2026-08-21T11:46:00Z</cp:lastPrinted>
  <dcterms:created xsi:type="dcterms:W3CDTF">2026-08-21T11:45:00Z</dcterms:created>
  <dcterms:modified xsi:type="dcterms:W3CDTF">2026-08-21T12:41:00Z</dcterms:modified>
</cp:coreProperties>
</file>