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Sales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t>Product</w:t>
            </w:r>
          </w:p>
        </w:tc>
        <w:tc>
          <w:tcPr>
            <w:tcW w:type="dxa" w:w="2160"/>
            <w:shd w:val="clear" w:color="auto" w:fill="BDD7EE"/>
          </w:tcPr>
          <w:p>
            <w:r>
              <w:t>Q1 (USD)</w:t>
            </w:r>
          </w:p>
        </w:tc>
        <w:tc>
          <w:tcPr>
            <w:tcW w:type="dxa" w:w="2160"/>
            <w:shd w:val="clear" w:color="auto" w:fill="BDD7EE"/>
          </w:tcPr>
          <w:p>
            <w:r>
              <w:t>Q2 (USD)</w:t>
            </w:r>
          </w:p>
        </w:tc>
        <w:tc>
          <w:tcPr>
            <w:tcW w:type="dxa" w:w="2160"/>
            <w:shd w:val="clear" w:color="auto" w:fill="BDD7EE"/>
          </w:tcPr>
          <w:p>
            <w:r>
              <w:t>Q3 (USD)</w:t>
            </w:r>
          </w:p>
        </w:tc>
      </w:tr>
      <w:tr>
        <w:tc>
          <w:tcPr>
            <w:tcW w:type="dxa" w:w="2160"/>
          </w:tcPr>
          <w:p>
            <w:r>
              <w:t>Widget A</w:t>
            </w:r>
          </w:p>
        </w:tc>
        <w:tc>
          <w:tcPr>
            <w:tcW w:type="dxa" w:w="2160"/>
          </w:tcPr>
          <w:p>
            <w:r>
              <w:t>45,000</w:t>
            </w:r>
          </w:p>
        </w:tc>
        <w:tc>
          <w:tcPr>
            <w:tcW w:type="dxa" w:w="2160"/>
          </w:tcPr>
          <w:p>
            <w:r>
              <w:t>52,000</w:t>
            </w:r>
          </w:p>
        </w:tc>
        <w:tc>
          <w:tcPr>
            <w:tcW w:type="dxa" w:w="2160"/>
          </w:tcPr>
          <w:p>
            <w:r>
              <w:t>61,000</w:t>
            </w:r>
          </w:p>
        </w:tc>
      </w:tr>
      <w:tr>
        <w:tc>
          <w:tcPr>
            <w:tcW w:type="dxa" w:w="2160"/>
          </w:tcPr>
          <w:p>
            <w:r>
              <w:t>Widget B</w:t>
            </w:r>
          </w:p>
        </w:tc>
        <w:tc>
          <w:tcPr>
            <w:tcW w:type="dxa" w:w="2160"/>
          </w:tcPr>
          <w:p>
            <w:r>
              <w:t>30,000</w:t>
            </w:r>
          </w:p>
        </w:tc>
        <w:tc>
          <w:tcPr>
            <w:tcW w:type="dxa" w:w="2160"/>
          </w:tcPr>
          <w:p>
            <w:r>
              <w:t>28,000</w:t>
            </w:r>
          </w:p>
        </w:tc>
        <w:tc>
          <w:tcPr>
            <w:tcW w:type="dxa" w:w="2160"/>
          </w:tcPr>
          <w:p>
            <w:r>
              <w:t>33,000</w:t>
            </w:r>
          </w:p>
        </w:tc>
      </w:tr>
      <w:tr>
        <w:tc>
          <w:tcPr>
            <w:tcW w:type="dxa" w:w="2160"/>
          </w:tcPr>
          <w:p>
            <w:r>
              <w:t>Widget C</w:t>
            </w:r>
          </w:p>
        </w:tc>
        <w:tc>
          <w:tcPr>
            <w:tcW w:type="dxa" w:w="2160"/>
          </w:tcPr>
          <w:p>
            <w:r>
              <w:t>18,000</w:t>
            </w:r>
          </w:p>
        </w:tc>
        <w:tc>
          <w:tcPr>
            <w:tcW w:type="dxa" w:w="2160"/>
          </w:tcPr>
          <w:p>
            <w:r>
              <w:t>24,000</w:t>
            </w:r>
          </w:p>
        </w:tc>
        <w:tc>
          <w:tcPr>
            <w:tcW w:type="dxa" w:w="2160"/>
          </w:tcPr>
          <w:p>
            <w:r>
              <w:t>27,500</w:t>
            </w:r>
          </w:p>
        </w:tc>
      </w:tr>
      <w:tr>
        <w:tc>
          <w:tcPr>
            <w:tcW w:type="dxa" w:w="2160"/>
          </w:tcPr>
          <w:p>
            <w:r>
              <w:t>Widget D</w:t>
            </w:r>
          </w:p>
        </w:tc>
        <w:tc>
          <w:tcPr>
            <w:tcW w:type="dxa" w:w="2160"/>
          </w:tcPr>
          <w:p>
            <w:r>
              <w:t>12,500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19,000</w:t>
            </w:r>
          </w:p>
        </w:tc>
      </w:tr>
      <w:tr>
        <w:tc>
          <w:tcPr>
            <w:tcW w:type="dxa" w:w="2160"/>
          </w:tcPr>
          <w:p>
            <w:r>
              <w:t>Widget E</w:t>
            </w:r>
          </w:p>
        </w:tc>
        <w:tc>
          <w:tcPr>
            <w:tcW w:type="dxa" w:w="2160"/>
          </w:tcPr>
          <w:p>
            <w:r>
              <w:t>9,000</w:t>
            </w:r>
          </w:p>
        </w:tc>
        <w:tc>
          <w:tcPr>
            <w:tcW w:type="dxa" w:w="2160"/>
          </w:tcPr>
          <w:p>
            <w:r>
              <w:t>11,200</w:t>
            </w:r>
          </w:p>
        </w:tc>
        <w:tc>
          <w:tcPr>
            <w:tcW w:type="dxa" w:w="2160"/>
          </w:tcPr>
          <w:p>
            <w:r>
              <w:t>14,800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