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Adoption Surges in 2025</w:t>
      </w:r>
    </w:p>
    <w:p>
      <w:r>
        <w:t>Enterprise adoption of AI tools reached an all-time high this quarter, with over 60% of Fortune 500 companies reporting active deployments.</w:t>
      </w:r>
    </w:p>
    <w:p>
      <w:r>
        <w:t>Analysts attribute this growth to falling API costs and improved tooling for non-technical teams.</w:t>
      </w:r>
    </w:p>
    <w:p>
      <w:r>
        <w:t>Remote Work Trends Shift Again</w:t>
      </w:r>
    </w:p>
    <w:p>
      <w:r>
        <w:t>A new survey of 10,000 workers found that hybrid arrangements are now preferred by 72% of respondents, up from 58% in 2024.</w:t>
      </w:r>
    </w:p>
    <w:p>
      <w:r>
        <w:t>Companies offering full flexibility report 23% lower attrition rates compared to firms requiring five-day office attendance.</w:t>
      </w:r>
    </w:p>
    <w:p>
      <w:r>
        <w:t>Open Source Models Close the Gap</w:t>
      </w:r>
    </w:p>
    <w:p>
      <w:r>
        <w:t>Several open-source language models released in Q1 2025 achieved benchmark scores within 5% of leading proprietary models.</w:t>
      </w:r>
    </w:p>
    <w:p>
      <w:r>
        <w:t>This development is expected to accelerate self-hosted deployments in regulated industries where data residency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