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Report 2025</w:t>
      </w:r>
    </w:p>
    <w:p>
      <w:pPr>
        <w:pStyle w:val="Heading2"/>
      </w:pPr>
      <w:r>
        <w:t>Introduction</w:t>
      </w:r>
    </w:p>
    <w:p>
      <w:pPr>
        <w:pStyle w:val="Heading3"/>
      </w:pPr>
      <w:r>
        <w:t>Background Context</w:t>
      </w:r>
    </w:p>
    <w:p>
      <w:r>
        <w:t>This report summarises the key activities and outcomes of the organisation during the fiscal year 2025. It covers financial performance, operational milestones, and strategic initiatives.</w:t>
      </w:r>
    </w:p>
    <w:p>
      <w:r>
        <w:t>The data presented here was collected from internal systems and verified by the finance team. All figures are in USD unless otherwise stated.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Department</w:t>
            </w:r>
          </w:p>
        </w:tc>
        <w:tc>
          <w:tcPr>
            <w:tcW w:type="dxa" w:w="2880"/>
          </w:tcPr>
          <w:p>
            <w:r>
              <w:t>Budget (USD)</w:t>
            </w:r>
          </w:p>
        </w:tc>
        <w:tc>
          <w:tcPr>
            <w:tcW w:type="dxa" w:w="2880"/>
          </w:tcPr>
          <w:p>
            <w:r>
              <w:t>Spent (USD)</w:t>
            </w:r>
          </w:p>
        </w:tc>
      </w:tr>
      <w:tr>
        <w:tc>
          <w:tcPr>
            <w:tcW w:type="dxa" w:w="2880"/>
          </w:tcPr>
          <w:p>
            <w:r>
              <w:t>Engineering</w:t>
            </w:r>
          </w:p>
        </w:tc>
        <w:tc>
          <w:tcPr>
            <w:tcW w:type="dxa" w:w="2880"/>
          </w:tcPr>
          <w:p>
            <w:r>
              <w:t>500,000</w:t>
            </w:r>
          </w:p>
        </w:tc>
        <w:tc>
          <w:tcPr>
            <w:tcW w:type="dxa" w:w="2880"/>
          </w:tcPr>
          <w:p>
            <w:r>
              <w:t>487,000</w:t>
            </w:r>
          </w:p>
        </w:tc>
      </w:tr>
      <w:tr>
        <w:tc>
          <w:tcPr>
            <w:tcW w:type="dxa" w:w="2880"/>
          </w:tcPr>
          <w:p>
            <w:r>
              <w:t>Marketing</w:t>
            </w:r>
          </w:p>
        </w:tc>
        <w:tc>
          <w:tcPr>
            <w:tcW w:type="dxa" w:w="2880"/>
          </w:tcPr>
          <w:p>
            <w:r>
              <w:t>200,000</w:t>
            </w:r>
          </w:p>
        </w:tc>
        <w:tc>
          <w:tcPr>
            <w:tcW w:type="dxa" w:w="2880"/>
          </w:tcPr>
          <w:p>
            <w:r>
              <w:t>198,500</w:t>
            </w:r>
          </w:p>
        </w:tc>
      </w:tr>
      <w:tr>
        <w:tc>
          <w:tcPr>
            <w:tcW w:type="dxa" w:w="2880"/>
          </w:tcPr>
          <w:p>
            <w:r>
              <w:t>Operations</w:t>
            </w:r>
          </w:p>
        </w:tc>
        <w:tc>
          <w:tcPr>
            <w:tcW w:type="dxa" w:w="2880"/>
          </w:tcPr>
          <w:p>
            <w:r>
              <w:t>150,000</w:t>
            </w:r>
          </w:p>
        </w:tc>
        <w:tc>
          <w:tcPr>
            <w:tcW w:type="dxa" w:w="2880"/>
          </w:tcPr>
          <w:p>
            <w:r>
              <w:t>141,200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