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commentRangeStart w:id="0"/>
      <w:commentRangeStart w:id="0"/>
      <w:r>
        <w:t>Annual Report 2025</w:t>
      </w:r>
      <w:commentRangeEnd w:id="0"/>
      <w:r>
        <w:rPr>
          <w:rStyle w:val="CommentReference"/>
        </w:rPr>
        <w:commentReference w:id="0"/>
      </w:r>
      <w:commentRangeEnd w:id="0"/>
      <w:r>
        <w:rPr>
          <w:rStyle w:val="CommentReference"/>
        </w:rPr>
        <w:commentReference w:id="0"/>
      </w:r>
    </w:p>
    <w:p>
      <w:pPr>
        <w:pStyle w:val="Heading2"/>
      </w:pPr>
      <w:r>
        <w:t>Introduction</w:t>
      </w:r>
    </w:p>
    <w:p>
      <w:pPr>
        <w:pStyle w:val="Heading3"/>
      </w:pPr>
      <w:r>
        <w:t>Background Context</w:t>
      </w:r>
    </w:p>
    <w:p>
      <w:r>
        <w:t>This report summarises the key activities and outcomes of the organisation during the fiscal year 2025. It covers financial performance, operational milestones, and strategic initiatives.</w:t>
      </w:r>
    </w:p>
    <w:p>
      <w:r>
        <w:t>The data presented here was collected from internal systems and verified by the finance team. All figures are in USD unless otherwise stated.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Department</w:t>
            </w:r>
          </w:p>
        </w:tc>
        <w:tc>
          <w:tcPr>
            <w:tcW w:type="dxa" w:w="2880"/>
          </w:tcPr>
          <w:p>
            <w:r>
              <w:t>Budget (USD)</w:t>
            </w:r>
          </w:p>
        </w:tc>
        <w:tc>
          <w:tcPr>
            <w:tcW w:type="dxa" w:w="2880"/>
          </w:tcPr>
          <w:p>
            <w:r>
              <w:t>Spent (USD)</w:t>
            </w:r>
          </w:p>
        </w:tc>
      </w:tr>
      <w:tr>
        <w:tc>
          <w:tcPr>
            <w:tcW w:type="dxa" w:w="2880"/>
          </w:tcPr>
          <w:p>
            <w:r>
              <w:t>Engineering</w:t>
            </w:r>
          </w:p>
        </w:tc>
        <w:tc>
          <w:tcPr>
            <w:tcW w:type="dxa" w:w="2880"/>
          </w:tcPr>
          <w:p>
            <w:r>
              <w:t>500,000</w:t>
            </w:r>
          </w:p>
        </w:tc>
        <w:tc>
          <w:tcPr>
            <w:tcW w:type="dxa" w:w="2880"/>
          </w:tcPr>
          <w:p>
            <w:r>
              <w:t>487,000</w:t>
            </w:r>
          </w:p>
        </w:tc>
      </w:tr>
      <w:tr>
        <w:tc>
          <w:tcPr>
            <w:tcW w:type="dxa" w:w="2880"/>
          </w:tcPr>
          <w:p>
            <w:r>
              <w:t>Marketing</w:t>
            </w:r>
          </w:p>
        </w:tc>
        <w:tc>
          <w:tcPr>
            <w:tcW w:type="dxa" w:w="2880"/>
          </w:tcPr>
          <w:p>
            <w:r>
              <w:t>200,000</w:t>
            </w:r>
          </w:p>
        </w:tc>
        <w:tc>
          <w:tcPr>
            <w:tcW w:type="dxa" w:w="2880"/>
          </w:tcPr>
          <w:p>
            <w:r>
              <w:t>198,500</w:t>
            </w:r>
          </w:p>
        </w:tc>
      </w:tr>
      <w:tr>
        <w:tc>
          <w:tcPr>
            <w:tcW w:type="dxa" w:w="2880"/>
          </w:tcPr>
          <w:p>
            <w:r>
              <w:t>Operations</w:t>
            </w:r>
          </w:p>
        </w:tc>
        <w:tc>
          <w:tcPr>
            <w:tcW w:type="dxa" w:w="2880"/>
          </w:tcPr>
          <w:p>
            <w:r>
              <w:t>150,000</w:t>
            </w:r>
          </w:p>
        </w:tc>
        <w:tc>
          <w:tcPr>
            <w:tcW w:type="dxa" w:w="2880"/>
          </w:tcPr>
          <w:p>
            <w:r>
              <w:t>141,200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Claude" w:date="2026-05-06T16:30:04Z" w:initials="C">
    <w:p w14:paraId="7BE2DE87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Clarify this section with recent research</w:t>
      </w:r>
    </w:p>
  </w:comment>
  <w:comment w:id="0" w:author="Claude" w:date="2026-05-06T16:31:26Z" w:initials="C">
    <w:p w14:paraId="5CEEDFAF" w14:textId="77777777">
      <w:r>
        <w:rPr>
          <w:rStyle w:val="CommentReference"/>
        </w:rPr>
        <w:annotationRef/>
      </w:r>
      <w:r>
        <w:rPr>
          <w:color w:val="000000"/>
          <w:sz w:val="20"/>
          <w:szCs w:val="20"/>
        </w:rPr>
        <w:t>Clarify this section with recent research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BE2DE87" w15:done="0"/>
  <w15:commentEx w15:paraId="5CEEDFAF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r="http://schemas.microsoft.com/office/comments/2020/reactions" mc:Ignorable="w14 w15 w16se w16cid w16 w16cex w16sdtdh w16sdtfl cr w16du wp14">
  <w16cex:commentExtensible w16cex:durableId="19B79D80" w16cex:dateUtc="2026-05-06T16:30:04Z"/>
  <w16cex:commentExtensible w16cex:durableId="54F4DB07" w16cex:dateUtc="2026-05-06T16:31:26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BE2DE87" w16cid:durableId="19B79D80"/>
  <w16cid:commentId w16cid:paraId="5CEEDFAF" w16cid:durableId="54F4DB07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comments" Target="comments.xml"/><Relationship Id="rId10" Type="http://schemas.microsoft.com/office/2011/relationships/commentsExtended" Target="commentsExtended.xml"/><Relationship Id="rId11" Type="http://schemas.microsoft.com/office/2016/09/relationships/commentsIds" Target="commentsIds.xml"/><Relationship Id="rId12" Type="http://schemas.microsoft.com/office/2018/08/relationships/commentsExtensible" Target="commentsExtensi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