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rPr>
          <w:rFonts w:ascii="Consolas" w:hAnsi="Consolas" w:eastAsia="Consolas"/>
          <w:sz w:val="18"/>
        </w:rPr>
        <w:t>建筑面积 = 包含可计价房间的所有闭合 QUOTE_EXT_WALL 轮廓面积合计 - 轮廓内 QUOTE_VOID 洞口面积；closed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rPr>
          <w:rFonts w:ascii="Consolas" w:hAnsi="Consolas" w:eastAsia="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按楼层关系扣减；同位置跨多层时最底层只扣顶面、最高层只扣地面、中间层地面顶面都扣；单层或无法识别楼层时地面顶面都扣；多层同名楼梯间也按楼层序号分组</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窗宽合计；厨房、卫生间因瓷砖上墙不生成窗台石铺贴报价项</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会进入轻钢龙骨平顶、顶面批嵌和顶面乳胶漆。露台默认视为露天空间，不生成顶面吊顶、顶面批嵌和顶面乳胶漆；少量有顶面的露台后续由设计师补项或校准。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 茶室、麻将房、棋牌室、影音室、健身房、客房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