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warning、集成吊顶零单价和建筑面积缺失提示，避免报价员等到点击导出时才看到风险原因。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136.24`，用于替代旧的三空间硬编码样例。工作台会展示当前报价规则单价表，报价员可直接编辑 `unit_price`；编辑后会清空已生成的报价映射和规则 JSON 预览，重新导出报价映射后使用新单价。导入报价规则 JSON 后，该单价表会同步刷新为导入内容。顶部工具栏可直接导出 Excel 报价草稿 `.xls`，报价映射生成后也可从报价面板再次下载；当前用 Excel 兼容 HTML 表格承载项目摘要、风险摘要、空间小计、自动清单明细和人工补项，空间小计与明细表末尾都会显示合计行。人工补项来自报价员标黄的漏项清单，数量、单位、单价留空，不参与当前自动合计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31 项“人工补项”；这些项目只用于提醒报价员补填，不写入报价映射 `items`，也不影响 `summary.total_amount`。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