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材料及工艺说明”列。Excel 草稿固定保留公共大项：全屋拆改工程、其他工程、水电工程、主材项目、全屋定制/橱柜/衣柜/全屋家具、室内门、集成吊顶/卫浴/全屋开关灯饰、其他（窗帘、美缝、窗台石等）；厨房卫生间集成吊顶属于“集成吊顶、卫浴、全屋开关灯饰”公共大项，并在该大项内合并数量和金额。空间类章节按当前方案空间动态生成，命名为“空间名称 + 工程”；如果多个空间同名，会按出现顺序显示为“卧室一工程”“卧室二工程”等，不合并成一个章节。固定公共大项中的同名自动项会合并数量和金额，缺少自动数据来源的模板项按 0.00 占位；空间类章节只显示该空间实际产生的自动项，同名项在本空间内合并，缺失项不显示。暗窗帘箱和窗台石铺贴属于空间类项目；公共大项里的窗帘和窗台石按 1 项占位，供设计师填价。每个章节都会输出“小计”，末尾输出“直接费合计”、工程管理费、税金和工程总造价。风险摘要仅作为表尾备注，方便报价员直接打开、补价和流转。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16 项“人工补项”；这些项目只用于提醒报价员补填，不写入报价映射 `items`，也不影响 `summary.total_amount`。Excel 草稿会按固定公共大项输出这些人工项或同名模板项；已自动接入的项目会用自动数量和金额替代 0.00 占位行，同名自动项会合并，未自动接入的项目保留 0.00 供设计师录入；背景墙在未画 `QUOTE_BACKGROUND_WALL` 时保留 0.00 占位，画了背景墙线时自动行会替代该占位。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`QUOTE_NEW_WALL`，可在同图层靠近墙段补 `HEIGHT`/`THICKNESS` 标识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`QUOTE_CUSTOM`，可补 `HEIGHT`/`TYPE` 标识；未标高度默认 2.6m |</w:t>
      </w:r>
    </w:p>
    <w:p w14:paraId="7763B7DA">
      <w:r>
        <w:t>| 低于 1m 的低柜没有高度标注 | 被按默认 2.6m 计入投影面积 | 在 `QUOTE_CUSTOM` 同图层靠近柜体线补 `HEIGHT=800`、`H=800` 或类型文字，后续由设计师校正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>
      <w:r>
        <w:t>- [ ] 新砌墙如需特殊高度或厚度，已在 `QUOTE_NEW_WALL` 同图层靠近墙段补 `HEIGHT`/`H` 和 `THICKNESS`/`厚度`；未标时高度按层高、厚度按 240mm 口径后续调整。</w:t>
      </w:r>
    </w:p>
    <w:p>
      <w:r>
        <w:t>- [ ] 背景墙如需自动带入报价，已在 `QUOTE_BACKGROUND_WALL` 画线并可补 `HEIGHT`/`H`；不画时系统按 0，Excel 草稿保留空行给设计师填写。</w:t>
      </w:r>
    </w:p>
    <w:p>
      <w:r>
        <w:t/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`QUOTE_WINDOW`，并贴近对应空间；如有特殊窗高可在同图层补 `HEIGHT`/`H`，缺省按 1.8m。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>
      <w:r>
        <w:t>当前报价扩展口径：窗高缺失默认 1.8m；新砌墙高度缺失按层高、厚度缺失按 240mm 候选口径；全屋定制高度缺失按 2.6m；背景墙未画 `QUOTE_BACKGROUND_WALL` 时按 0。Excel 草稿固定公共大项、动态空间工程大项和每组小计；固定公共大项缺来源模板项默认 0.00，空间大项缺失项不显示。</w:t>
      </w:r>
    </w:p>
    <w:p>
      <w:r>
        <w:t/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