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2"/>
      </w:pPr>
      <w:r>
        <w:t>3. 空间边界画法</w:t>
      </w:r>
    </w:p>
    <w:p>
      <w:r>
        <w:t>每个需要报价或校对的空间，都必须在 `QUOTE_ROOM` 图层画一条闭合多段线。</w:t>
      </w:r>
    </w:p>
    <w:p>
      <w:r>
        <w:t>要求：</w:t>
      </w:r>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eastAsia="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eastAsia="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eastAsia="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eastAsia="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eastAsia="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eastAsia="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eastAsia="Consolas"/>
          <w:sz w:val="18"/>
        </w:rPr>
        <w:t>马桶数量 = 卫生间默认 1 个；有 QUOTE_TOILET 点位时按点位数</w:t>
        <w:b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eastAsia="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eastAsia="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报价输出模式统一使用同一份报价规则单价，但导出时可选择“硬装（半包）”“整装（全包）”或“硬装 + 自选增项包”。硬装模式只输出施工和基础硬装项；整装模式输出全部已接入项目；自选增项包按 Excel 报价表公共大项组织，可在半包基础上叠加“主材项目”“全屋定制、衣柜、橱柜、全屋家具”“室内门”“集成吊顶、卫浴、全屋开关灯饰”“其他（窗帘、美缝、窗台石等）”等大项，也可只选择大项下的部分小项。该选择同时影响报价映射 JSON 和 Excel 草稿，校对快照会保存 `quote_mode`、`selected_quote_package_ids` 和 `selected_quote_item_names`，导入快照后恢复。报价规则 JSON 中缺省或 `scope="hard"` 的规则视为硬装基础项；`scope="addon"` 的规则只在整装模式，或“硬装 + 自选增项包”且选中对应 `package_id` 或具体清单项时输出。</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和前端默认规则源码。默认规则中通过 `scope` / `package_id` 区分硬装基础项和整装增项，不再维护单独的半包规则文件。同步默认规则后需要提高工作台的本机缓存版本，避免浏览器继续使用旧默认规则缓存。</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