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材料及工艺说明”列。清单会固定输出真实模板十七个章节，例如厨房工程、水电工程、主材项目、室内门等，每组输出“小计”，空章节保留 0 小计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19 项“人工补项”；这些项目只用于提醒报价员补填，不写入报价映射 `items`，也不影响 `summary.total_amount`。已自动接入的拆改及拆墙、卫生间门、厨房推拉门、厨房推拉门双包套、材料搬运费、垃圾清运费、地面砖现场维护费、弱电布线、全屋插座开关、全屋保洁、美缝和瓷砖加工费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