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Heading2"/>
      </w:pPr>
      <w:r>
        <w:t xml:space="preserve">2. 图层总览</w:t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>| `QUOTE_EXT_WALL` | 规范预留 | 后续用于外墙计量 |</w:t>
      </w:r>
    </w:p>
    <w:p>
      <w:pPr>
        <w:pStyle w:val="Normal"/>
      </w:pPr>
      <w:r>
        <w:t xml:space="preserve">注意：预留图层可以先按规范保留，但当前不要依赖它们参与核心自动算量。</w:t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`0.3m`。阳台、露台、洗衣房墙砖不是所有墙面都需要铺贴，当前不自动计算墙砖面积；后续需要增加贴砖墙面标记或图层后，再按实际层高计算。</w:t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窗帘和窗帘箱不按窗洞宽度计量，应按窗户所在墙面的整面墙宽度计量。厨房、卫生间、过道等空间默认不做窗帘和窗帘箱；一般不做窗帘箱的位置也不生成窗帘。当前系统只生成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`manual`。该候选值允许在工程量表中人工校准、随校对快照保存/恢复；当前不自动生成窗帘或窗帘箱金额，后续完成人工校准和规则确认后再接入报价。校准模板会导出 `windowsill_length_m`、`curtain_wall_width_m` 和 `curtain_wall_width_source`。报价员可以把 L 形窗人工确认后的实际延米填回模板，再作为 golden JSON 固定校准结果。上传包含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`manual`，并清除该单元格的当前差异。报价映射区域会统计窗帘/窗帘箱可报价候选空间数和仍待确认空间数，用于判断该口径离报价接入还有多远；该统计当前不生成窗帘或窗帘箱金额。</w:t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Heading3">
    <w:name w:val="heading 3"/>
    <w:basedOn w:val="Normal"/>
    <w:pPr>
      <w:outlineLvl w:val="2"/>
    </w:pPr>
    <w:rPr>
      <w:b/>
      <w:sz w:val="24"/>
    </w:rPr>
  </w:style>
</w:styles>
</file>

<file path=word/_rels/document.xml.rels>&#65279;<?xml version="1.0" encoding="UTF-8" standalone="yes"?><Relationships xmlns="http://schemas.openxmlformats.org/package/2006/relationships"/>
</file>