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表格承载项目摘要、风险摘要、空间小计，并按真实模板列输出“编号 / 项目名称 / 单位 / 数量 / 主材单价 / 辅材单价 / 人工费 / 总价 / 材料及工艺说明”。人工补项来自报价员标黄的漏项清单，数量和三段单价留空，不参与当前自动合计，方便报价员直接打开、补价和流转。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27 项“人工补项”；这些项目只用于提醒报价员补填，不写入报价映射 `items`，也不影响 `summary.total_amount`。已自动接入的拆改及拆墙、卫生间门、厨房推拉门和厨房推拉门双包套不再重复放入人工补项。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