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pPr>
        <w:pStyle w:val="IntenseQuote"/>
      </w:pPr>
      <w:r>
        <w:t>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套；报价金额按 ceil(建筑面积 * 0.8) * 20 估算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120/M（主材 60、辅材 20、人工 40）；顶面批嵌和顶面乳胶漆仍使用完整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套，金额按 `ceil(建筑面积 * 0.8) * 20` 自动估算；全屋灯饰和全屋保洁默认价格为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边吊/双眼皮吊顶、栏杆扶手、贴砖墙、地砖主材片数、水电备用施工面积、新砌墙、拆墙、现浇楼板、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可识别，但默认不计价，状态为不计价</w:t>
            </w:r>
          </w:p>
        </w:tc>
      </w:tr>
      <w:tr>
        <w:tc>
          <w:tcPr>
            <w:tcW w:type="dxa" w:w="4320"/>
          </w:tcPr>
          <w:p>
            <w:r>
              <w:t>茶室、麻将房、棋牌室、影音室、健身房、客房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