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材料及工艺说明”列。清单会固定输出真实模板十七个章节，例如厨房工程、水电工程、主材项目、室内门等，每组输出“小计”，空章节保留 0 小计，末尾输出“直接费合计”、工程管理费、税金和工程总造价。人工补项来自报价员标黄的漏项清单，按同一章节体系并入同一张表，数量和三段单价留空，不参与当前自动合计；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27 项“人工补项”；这些项目只用于提醒报价员补填，不写入报价映射 `items`，也不影响 `summary.total_amount`。已自动接入的拆改及拆墙、卫生间门、厨房推拉门和厨房推拉门双包套不再重复放入人工补项。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