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3"/>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3"/>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`QUOTE_CAST_SLAB`</w:t>
            </w:r>
          </w:p>
        </w:tc>
        <w:tc>
          <w:tcPr>
            <w:tcW w:type="dxa" w:w="2880"/>
          </w:tcPr>
          <w:p>
            <w:r>
              <w:t>现浇钢筋混凝土楼板闭合区域，推荐用 HATCH 色块，也兼容闭合多段线</w:t>
            </w:r>
          </w:p>
        </w:tc>
        <w:tc>
          <w:tcPr>
            <w:tcW w:type="dxa" w:w="2880"/>
          </w:tcPr>
          <w:p>
            <w:r>
              <w:t>按所在空间归属并计算现浇楼板面积</w:t>
            </w:r>
          </w:p>
        </w:tc>
      </w:tr>
      <w:tr>
        <w:tc>
          <w:tcPr>
            <w:tcW w:type="dxa" w:w="2880"/>
          </w:tcPr>
          <w:p>
            <w:r>
              <w:t>`QUOTE_EDGE_CEILING`</w:t>
            </w:r>
          </w:p>
        </w:tc>
        <w:tc>
          <w:tcPr>
            <w:tcW w:type="dxa" w:w="2880"/>
          </w:tcPr>
          <w:p>
            <w:r>
              <w:t>边吊/双眼皮吊顶的单一闭合范围，推荐闭合多段线或 HATCH 色块</w:t>
            </w:r>
          </w:p>
        </w:tc>
        <w:tc>
          <w:tcPr>
            <w:tcW w:type="dxa" w:w="2880"/>
          </w:tcPr>
          <w:p>
            <w:r>
              <w:t>按闭合范围面积扣减轻钢龙骨平顶面积，并按闭合范围周长生成边吊计价长度</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3"/>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在“水电工程”中按“强弱电工程”和“给排水工程”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水电推荐点位 = 系统按空间类型、空间轮廓、门窗、柜体、洁具和楼层信息生成带坐标的开关点位、插座点位、灯位、强弱电点位和冷热水/排水点位；用于水电复核面板和报价汇总，不等于 CAD 水电施工图实测</w:t>
        <w:br/>
        <w:t>强电线管、弱电线管、给水管、排水管 = 系统按水电推荐点位估算的管线长度；用于报价草稿和复核，不按建筑面积直接取数</w:t>
        <w:br/>
        <w:t>全屋灯饰套餐数 = 项目存在可计价空间时为 1 套；否则为 0</w:t>
        <w:br/>
        <w:t>全屋插座开关套餐数 = 项目存在可计价空间时为 1 套；该项保留为项目级套餐，不再按建筑面积折算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`edge_ceiling_length_m`，按闭合范围周长计价，默认 80/M（主材 35、辅材 15、人工 30）；顶面批嵌和顶面乳胶漆仍使用完整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直接折算，也不在最终报价表中输出每个空间的水电细分来源。水电复核面板保留开关点位、各类插座、灯位、弱电点位、空调/设备专线、冷热水、排水和地漏等来源；报价规则默认汇总为“水电工程”，并在 Excel 草稿中分为“强弱电工程”和“给排水工程”，输出强电插座、开关、灯位、筒灯/射灯、设备专线、弱电点位、强电线管、弱电线管、强电箱、弱电箱、分配电箱、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 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独立井道空间默认不计价，状态为不计价；若空间名同时包含可计价空间和井道关键词，例如 `客厅/电梯井`，则按可计价空间处理</w:t>
            </w:r>
          </w:p>
        </w:tc>
      </w:tr>
      <w:tr>
        <w:tc>
          <w:tcPr>
            <w:tcW w:type="dxa" w:w="4320"/>
          </w:tcPr>
          <w:p>
            <w:r>
              <w:t>茶室、麻将房、棋牌室、影音室、健身房、客房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棋牌室/影音室/健身房/电竞房/游戏房/多功能房/休闲区归为娱乐室，会客厅/家庭厅归为客厅，设备间归为储物间。无法自动分类但需要报价的空间，由设计师在工程量表选择计价空间类型；确实不计价的空间可在状态中标为不计价。手动修正后的空间类型会写入校对快照，并用于后续报价映射和 Excel 草稿导出。</w:t>
      </w:r>
    </w:p>
    <w:p>
      <w:r>
        <w:t>Excel 草稿“材料及工艺说明”列面向客户展示，只写材料、品牌范围、施工做法和安装内容，不写 `QUOTE_*` 图层名、默认单价、待核定、设计师确认等内部系统说明。</w:t>
      </w:r>
    </w:p>
    <w:p>
      <w:pPr>
        <w:pStyle w:val="Heading2"/>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