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`0.3m`。阳台、露台、洗衣房墙砖不是所有墙面都需要铺贴，当前不自动计算墙砖面积；后续需要增加贴砖墙面标记或图层后，再按实际层高计算。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窗帘和窗帘箱不按窗洞宽度计量，应按窗户所在墙面的整面墙宽度计量。厨房、卫生间、过道等空间默认不做窗帘和窗帘箱；一般不做窗帘箱的位置也不生成窗帘。当前系统只生成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`manual`。该候选值允许在工程量表中人工校准、随校对快照保存/恢复；当前不自动生成窗帘或窗帘箱金额，后续完成人工校准和规则确认后再接入报价。校准模板会导出 `windowsill_length_m`、`curtain_wall_width_m` 和 `curtain_wall_width_source`。报价员可以把 L 形窗人工确认后的实际延米填回模板，再作为 golden JSON 固定校准结果。上传包含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`manual`，并清除该单元格的当前差异。报价映射区域会统计窗帘/窗帘箱可报价候选空间数、仍待确认空间数和对应空间名，用于判断该口径离报价接入还有多远；该统计当前不生成窗帘或窗帘箱金额。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