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Heading2"/>
      </w:pPr>
      <w:r>
        <w:t xml:space="preserve">2. 图层总览</w:t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>| `QUOTE_EXT_WALL` | 规范预留 | 后续用于外墙计量 |</w:t>
      </w:r>
    </w:p>
    <w:p>
      <w:pPr>
        <w:pStyle w:val="Normal"/>
      </w:pPr>
      <w:r>
        <w:t xml:space="preserve">注意：预留图层可以先按规范保留，但当前不要依赖它们参与核心自动算量。</w:t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系统不会直接使用 `QUOTE_ROOM` 的周长作为墙面施工周长。</w:t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`1.5m`，可在校对表中人工调整。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`1.5m`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`0.3m`。阳台、露台、洗衣房墙砖不是所有墙面都需要铺贴，当前不自动计算墙砖面积；后续需要增加贴砖墙面标记或图层后，再按实际层高计算。</w:t>
      </w:r>
    </w:p>
    <w:p>
      <w:pPr>
        <w:pStyle w:val="Normal"/>
      </w:pPr>
      <w:r>
        <w:t xml:space="preserve">窗帘和窗帘箱不按窗洞宽度计量，应按窗户所在墙面的整面墙宽度计量。厨房、卫生间、过道等空间默认不做窗帘和窗帘箱；一般不做窗帘箱的位置也不生成窗帘。当前系统只生成 `curtain_wall_width_m` 候选值：若窗洞中心线能匹配到邻近且平行的 `QUOTE_WALL`，取该墙段整宽；若匹配不到，回退到空间最长一段 `QUOTE_WALL`。该候选值允许在工程量表中人工校准、随校对快照保存/恢复；当前不自动生成窗帘或窗帘箱金额，后续完成人工校准和规则确认后再接入报价。</w:t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</w:styles>
</file>

<file path=word/_rels/document.xml.rels>&#65279;<?xml version="1.0" encoding="UTF-8" standalone="yes"?><Relationships xmlns="http://schemas.openxmlformats.org/package/2006/relationships"/>
</file>