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图层总览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计算全屋定制数量；闭合柜体轮廓取最长边，不取周长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计算方案建筑面积；closed 标记或首尾点重合都视为闭合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使用闭合 `LWPOLYLINE` 或 `POLYLINE`；可以设置 CAD closed 标记，也可以让多段线首尾点重合。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如果沿用柜体模型画成闭合矩形轮廓，系统按最长边取一次作为投影长度，不按轮廓周长累加。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投影长度 * 柜高（未标注时默认 2.6m）+ 高度低于 1m 的低柜长度；闭合柜体轮廓取最长边，不取周长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线段长度或窗框长边应等于窗洞宽度；L 形/转角窗由相邻窗框组成时，系统按两条非平行有效窗边合计作为窗洞扣减宽度。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`1.8m`，可在校对表中人工调整。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窗高；普通窗宽取线段长度或窗框长边，L 形/转角窗宽取两条非平行有效窗边合计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`1.8m`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标记或首尾点重合都视为闭合，没有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投影长度 * 柜高（未标注时默认 2.6m）+ 高度低于 1m 的低柜长度；闭合柜体轮廓取最长边，不取周长；厨房空间或没有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