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表格承载项目摘要、风险摘要、空间小计，并按真实模板列输出“编号 / 项目名称 / 单位 / 数量 / 主材单价 / 辅材单价 / 人工费 / 总价 / 材料及工艺说明”。清单会按真实模板章节分组，例如厨房工程、水电工程、主材项目、室内门等，每组输出“小计”，末尾输出“直接费合计”。人工补项来自报价员标黄的漏项清单，按同一章节体系归位，数量和三段单价留空，不参与当前自动合计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27 项“人工补项”；这些项目只用于提醒报价员补填，不写入报价映射 `items`，也不影响 `summary.total_amount`。已自动接入的拆改及拆墙、卫生间门、厨房推拉门和厨房推拉门双包套不再重复放入人工补项。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