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pPr>
        <w:pStyle w:val="IntenseQuote"/>
      </w:pPr>
      <w:r>
        <w:t>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套；报价金额按 ceil(建筑面积 * 0.8) * 20 估算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套，金额按 `ceil(建筑面积 * 0.8) * 20` 自动估算；全屋灯饰和全屋保洁默认价格为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边吊/双眼皮吊顶、栏杆扶手、贴砖墙、地砖主材片数、水电备用施工面积、新砌墙、拆墙、现浇楼板、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可识别，但默认不计价，状态为不计价</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