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3"/>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3"/>
      </w:pPr>
      <w:r>
        <w:t>2.3 预留或增强图层</w:t>
      </w:r>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`QUOTE_RAILING` | 栏杆、护栏、楼梯扶手线 | 位于楼梯/楼梯过道时按楼梯扶手换算斜长，其它空间按栏杆/护栏平面长度 |</w:t>
      </w:r>
    </w:p>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eastAsia="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rPr>
          <w:rFonts w:ascii="Consolas" w:hAnsi="Consolas" w:eastAsia="Consolas"/>
          <w:sz w:val="18"/>
        </w:rP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eastAsia="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eastAsia="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eastAsia="Consolas"/>
          <w:sz w:val="18"/>
        </w:rPr>
        <w:t>拆墙长度 = 与空间关联的 QUOTE_DEMO_WALL 长度合计</w:t>
        <w:b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eastAsia="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eastAsia="Consolas"/>
          <w:sz w:val="18"/>
        </w:rPr>
        <w:t>马桶数量 = 卫生间默认 1 个；有 QUOTE_TOILET 点位时按点位数</w:t>
        <w:b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eastAsia="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eastAsia="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rPr>
          <w:rFonts w:ascii="Consolas" w:hAnsi="Consolas" w:eastAsia="Consolas"/>
          <w:sz w:val="18"/>
        </w:rP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 茶室、麻将房、棋牌室、影音室、健身房、客房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上层楼板洞口、楼板开洞、阳台栏杆、护栏、开放边 | 不作为空间报价名称；应使用 `QUOTE_VOID`、`QUOTE_RAILING`、`QUOTE_OPENING` 辅助图层表达 |</w:t>
      </w:r>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Pr>
        <w:pStyle w:val="Heading2"/>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