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eastAsia="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rPr>
          <w:rFonts w:ascii="Consolas" w:hAnsi="Consolas" w:eastAsia="Consolas"/>
          <w:sz w:val="18"/>
        </w:rP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eastAsia="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eastAsia="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eastAsia="Consolas"/>
          <w:sz w:val="18"/>
        </w:rPr>
        <w:t>拆墙长度 = 与空间关联的 QUOTE_DEMO_WALL 长度合计</w:t>
        <w:b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eastAsia="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eastAsia="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eastAsia="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eastAsia="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`guardrail_length_m`，按平面长度计。默认报价规则已提供“楼梯扶手”和“栏杆/护栏”占位单价，后续可在报价规则单价表中调整。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可识别，但默认不计价，状态为不计价</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楼梯踏步、踢面、复杂防水、外墙洞口等项目当前不作为核心自动算量能力，需要后续规则扩展或人工校对。楼梯、楼梯过道、露台按普通可计价空间处理；楼梯扶手、栏杆/护栏已可通过 `QUOTE_RAILING` 生成候选数量，但默认占位单价仍需设计师或报价员按项目调整。</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