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使用闭合 `LWPOLYLINE` 或 `POLYLINE`。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长度 * 柜高（未标注时默认 2.6m）+ 高度低于 1m 的低柜长度</w:t>
      </w:r>
    </w:p>
    <w:p>
      <w:pPr>
        <w:pStyle w:val="Normal"/>
      </w:pPr>
      <w:r>
        <w:t xml:space="preserve">```</w:t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并复核健康检查。筛选只影响面板展示，不影响修图清单和报价映射的完整健康检查摘要。</w:t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>导出报价映射时，如果当前仍存在 `warning` 级健康检查项，页面会提示建议先导出修图清单或修图后复核，但不阻断生成草稿报价。导出的报价映射 JSON 会附带 `quantity_health_readiness` 摘要，记录当前健康检查的总数、warning 数、info 数和提示文案，便于报价文件流转时保留风险状态。</w:t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