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报价映射面板会提前展示导出前风险明细，复用导出确认里的 warning、零单价和建筑面积缺失提示，避免报价员等到点击导出时才看到风险原因。</w:t>
      </w:r>
    </w:p>
    <w:p>
      <w:r>
        <w:t>工作台首页默认打开 `10.dxf` 方案，默认数据来自 `server/tests/fixtures/10.dxf` 的稳定解析结果，包含 8 个空间和 `summary.building_area_m2 = 136.24`，用于替代旧的三空间硬编码样例。工作台会展示当前报价规则单价表，报价员可按真实模板分别编辑主材单价、辅材单价和人工单价；页面会自动汇总为 `unit_price`。编辑后会清空已生成的报价映射和规则 JSON 预览，重新导出报价映射或 Excel 草稿后使用新的三段价格和汇总单价。导入报价规则 JSON 后，该单价表会同步刷新为导入内容。顶部工具栏可直接导出 Excel 报价草稿 `.xls`，报价映射生成后也可从报价面板再次下载；当前用 Excel 兼容 HTML 表格输出接近真实模板的单张“清单式报价表”，包含“工程(预)算表”标题行、项目名称/装修面积/日期行、真实模板两层表头，以及“编号 / 项目名称 / 单位 / 数量 / 主材单价 / 辅材单价 / 人工费 / 总价 / 材料及工艺说明”列。Excel 草稿固定保留公共大项：全屋拆改工程、其他工程、水电工程、主材项目、全屋定制/橱柜/衣柜/全屋家具、室内门、集成吊顶/卫浴/全屋开关灯饰、其他（窗帘、美缝、窗台石等）；厨房卫生间集成吊顶属于“集成吊顶、卫浴、全屋开关灯饰”公共大项，并在该大项内合并数量和金额。空间类章节按当前方案空间动态生成，命名为“空间名称 + 工程”；如果多个空间同名，会按出现顺序显示为“卧室一工程”“卧室二工程”等，不合并成一个章节。固定公共大项中的同名自动项会合并数量和金额，缺少自动数据来源的模板项按 0.00 占位；空间类章节只显示该空间实际产生的自动项，同名项在本空间内合并，缺失项不显示。暗窗帘箱和窗台石铺贴属于空间类项目；公共大项里的窗帘和窗台石按 1 项占位，供设计师填价。每个章节都会输出“小计”，末尾输出“直接费合计”、工程管理费、税金和工程总造价。风险摘要仅作为表尾备注，方便报价员直接打开、补价和流转。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>
      <w:r>
        <w:t>报价映射区域会提示 Excel 草稿包含 16 项“人工补项”；这些项目只用于提醒报价员补填，不写入报价映射 `items`，也不影响 `summary.total_amount`。Excel 草稿会按固定公共大项输出这些人工项或同名模板项；已自动接入的项目会用自动数量和金额替代 0.00 占位行，同名自动项会合并，未自动接入的项目保留 0.00 供设计师录入；背景墙在未画 `QUOTE_BACKGROUND_WALL` 时保留 0.00 占位，画了背景墙线时自动行会替代该占位。</w:t>
      </w:r>
    </w:p>
    <w:p/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`QUOTE_NEW_WALL`，可在同图层靠近墙段补 `HEIGHT`/`THICKNESS` 标识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`QUOTE_CUSTOM`，可补 `HEIGHT`/`TYPE` 标识；未标高度默认 2.6m |</w:t>
      </w:r>
    </w:p>
    <w:p w14:paraId="7763B7DA">
      <w:r>
        <w:t>| 低于 1m 的低柜没有高度标注 | 被按默认 2.6m 计入投影面积 | 在 `QUOTE_CUSTOM` 同图层靠近柜体线补 `HEIGHT=800`、`H=800` 或类型文字，后续由设计师校正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>
      <w:r>
        <w:t>- [ ] 新砌墙如需特殊高度或厚度，已在 `QUOTE_NEW_WALL` 同图层靠近墙段补 `HEIGHT`/`H` 和 `THICKNESS`/`厚度`；未标时高度按层高、厚度按 240mm 口径后续调整。</w:t>
      </w:r>
    </w:p>
    <w:p>
      <w:r>
        <w:t>- [ ] 背景墙如需自动带入报价，已在 `QUOTE_BACKGROUND_WALL` 画线并可补 `HEIGHT`/`H`；不画时系统按 0，Excel 草稿保留空行给设计师填写。</w:t>
      </w:r>
    </w:p>
    <w:p>
      <w:r>
        <w:t/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`QUOTE_WINDOW`，并贴近对应空间；如有特殊窗高可在同图层补 `HEIGHT`/`H`，缺省按 1.8m。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>
      <w:r>
        <w:t>当前报价扩展口径：窗高缺失默认 1.8m；新砌墙高度缺失按层高、厚度缺失按 240mm 候选口径；全屋定制高度缺失按 2.6m；背景墙未画 `QUOTE_BACKGROUND_WALL` 时按 0。Excel 草稿固定公共大项、动态空间工程大项和每组小计；固定公共大项缺来源模板项默认 0.00，空间大项缺失项不显示。</w:t>
      </w:r>
    </w:p>
    <w:p>
      <w:r>
        <w:t/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