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E49B1" w14:textId="77777777" w:rsidR="008D1CA9" w:rsidRDefault="008D1CA9" w:rsidP="00890B54">
      <w:pPr>
        <w:pStyle w:val="Ttulo3"/>
        <w:rPr>
          <w:rStyle w:val="Textoennegrita"/>
          <w:b w:val="0"/>
          <w:bCs w:val="0"/>
        </w:rPr>
      </w:pPr>
    </w:p>
    <w:p w14:paraId="2A5C0B56" w14:textId="34E8B541" w:rsidR="00890B54" w:rsidRDefault="00890B54" w:rsidP="00890B54">
      <w:pPr>
        <w:pStyle w:val="Ttulo3"/>
      </w:pPr>
      <w:r>
        <w:rPr>
          <w:rStyle w:val="Textoennegrita"/>
          <w:b w:val="0"/>
          <w:bCs w:val="0"/>
        </w:rPr>
        <w:t>Arquitectura de Microservicios para EcoMarket SPA</w:t>
      </w:r>
    </w:p>
    <w:p w14:paraId="282BAF0C" w14:textId="77777777" w:rsidR="00890B54" w:rsidRDefault="00890B54" w:rsidP="00890B54">
      <w:pPr>
        <w:pStyle w:val="Ttulo4"/>
      </w:pPr>
      <w:r>
        <w:t xml:space="preserve">1. </w:t>
      </w:r>
      <w:r>
        <w:rPr>
          <w:rStyle w:val="Textoennegrita"/>
          <w:b w:val="0"/>
          <w:bCs w:val="0"/>
        </w:rPr>
        <w:t>Arquitectura General de Microservicios</w:t>
      </w:r>
    </w:p>
    <w:p w14:paraId="2EE719CE" w14:textId="77777777" w:rsidR="00890B54" w:rsidRDefault="00890B54" w:rsidP="00890B54">
      <w:pPr>
        <w:pStyle w:val="NormalWeb"/>
      </w:pPr>
      <w:r>
        <w:t>EcoMarket SPA busca optimizar la operativa y la experiencia del cliente a través de una plataforma digital eficiente que sea escalable y flexible, permitiendo la expansión a nivel nacional. Para ello, se adoptará una arquitectura de microservicios que permitirá dividir las responsabilidades de negocio de manera autónoma, cada una gestionada por microservicios independientes.</w:t>
      </w:r>
    </w:p>
    <w:p w14:paraId="72D5C162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1.1. Descomposición en Microservicios</w:t>
      </w:r>
    </w:p>
    <w:p w14:paraId="0D68CCBB" w14:textId="77777777" w:rsidR="00890B54" w:rsidRDefault="00890B54" w:rsidP="00890B54">
      <w:pPr>
        <w:pStyle w:val="NormalWeb"/>
      </w:pPr>
      <w:r>
        <w:t xml:space="preserve">En base a la misión de EcoMarket SPA de promover la sostenibilidad y ofrecer productos ecológicos de manera eficiente, se propondrá la siguiente descomposición de microservicios basada en el enfoque </w:t>
      </w:r>
      <w:r>
        <w:rPr>
          <w:rStyle w:val="Textoennegrita"/>
          <w:rFonts w:eastAsiaTheme="majorEastAsia"/>
        </w:rPr>
        <w:t>Domain-Driven Design (DDD)</w:t>
      </w:r>
      <w:r>
        <w:t>:</w:t>
      </w:r>
    </w:p>
    <w:p w14:paraId="0882ECCA" w14:textId="77777777" w:rsidR="00890B54" w:rsidRDefault="00890B54" w:rsidP="00890B54">
      <w:pPr>
        <w:pStyle w:val="NormalWeb"/>
        <w:numPr>
          <w:ilvl w:val="0"/>
          <w:numId w:val="12"/>
        </w:numPr>
      </w:pPr>
      <w:r>
        <w:rPr>
          <w:rStyle w:val="Textoennegrita"/>
          <w:rFonts w:eastAsiaTheme="majorEastAsia"/>
        </w:rPr>
        <w:t>Microservicio de Usuarios</w:t>
      </w:r>
      <w:r>
        <w:t>:</w:t>
      </w:r>
    </w:p>
    <w:p w14:paraId="21C2C678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</w:t>
      </w:r>
      <w:r>
        <w:t>: Autenticación, gestión de perfiles de usuario, preferencias ecológicas.</w:t>
      </w:r>
    </w:p>
    <w:p w14:paraId="4844AF34" w14:textId="4407789E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</w:t>
      </w:r>
      <w:r>
        <w:t>: Base de datos NoSQL para gestionar datos no estructurados de usuarios (</w:t>
      </w:r>
      <w:r w:rsidR="002B4DF6">
        <w:t xml:space="preserve">Ejemplo: </w:t>
      </w:r>
      <w:r>
        <w:t xml:space="preserve"> preferencias, historial de compras).</w:t>
      </w:r>
    </w:p>
    <w:p w14:paraId="0E022DEB" w14:textId="77777777" w:rsidR="00890B54" w:rsidRDefault="00890B54" w:rsidP="00890B54">
      <w:pPr>
        <w:pStyle w:val="NormalWeb"/>
        <w:numPr>
          <w:ilvl w:val="0"/>
          <w:numId w:val="12"/>
        </w:numPr>
      </w:pPr>
      <w:r>
        <w:rPr>
          <w:rStyle w:val="Textoennegrita"/>
          <w:rFonts w:eastAsiaTheme="majorEastAsia"/>
        </w:rPr>
        <w:t>Microservicio de Productos</w:t>
      </w:r>
      <w:r>
        <w:t>:</w:t>
      </w:r>
    </w:p>
    <w:p w14:paraId="04A8438D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</w:t>
      </w:r>
      <w:r>
        <w:t>: Gestión de catálogo de productos ecológicos, características, precios, disponibilidad.</w:t>
      </w:r>
    </w:p>
    <w:p w14:paraId="46342E05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</w:t>
      </w:r>
      <w:r>
        <w:t>: Base de datos relacional para productos e inventarios.</w:t>
      </w:r>
    </w:p>
    <w:p w14:paraId="5AD65FB0" w14:textId="77777777" w:rsidR="00890B54" w:rsidRDefault="00890B54" w:rsidP="00890B54">
      <w:pPr>
        <w:pStyle w:val="NormalWeb"/>
        <w:numPr>
          <w:ilvl w:val="0"/>
          <w:numId w:val="12"/>
        </w:numPr>
      </w:pPr>
      <w:r>
        <w:rPr>
          <w:rStyle w:val="Textoennegrita"/>
          <w:rFonts w:eastAsiaTheme="majorEastAsia"/>
        </w:rPr>
        <w:t>Microservicio de Pedidos</w:t>
      </w:r>
      <w:r>
        <w:t>:</w:t>
      </w:r>
    </w:p>
    <w:p w14:paraId="6D21D606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</w:t>
      </w:r>
      <w:r>
        <w:t>: Gestión de compras, seguimiento de pedidos, confirmación de pago.</w:t>
      </w:r>
    </w:p>
    <w:p w14:paraId="461CA462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</w:t>
      </w:r>
      <w:r>
        <w:t>: Base de datos relacional para el manejo de transacciones de pedidos.</w:t>
      </w:r>
    </w:p>
    <w:p w14:paraId="53DB1559" w14:textId="77777777" w:rsidR="00890B54" w:rsidRDefault="00890B54" w:rsidP="00890B54">
      <w:pPr>
        <w:pStyle w:val="NormalWeb"/>
        <w:numPr>
          <w:ilvl w:val="0"/>
          <w:numId w:val="12"/>
        </w:numPr>
      </w:pPr>
      <w:r>
        <w:rPr>
          <w:rStyle w:val="Textoennegrita"/>
          <w:rFonts w:eastAsiaTheme="majorEastAsia"/>
        </w:rPr>
        <w:t>Microservicio de Pagos</w:t>
      </w:r>
      <w:r>
        <w:t>:</w:t>
      </w:r>
    </w:p>
    <w:p w14:paraId="16CED7B1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</w:t>
      </w:r>
      <w:r>
        <w:t>: Procesamiento de pagos, integración con pasarelas de pago y servicios bancarios.</w:t>
      </w:r>
    </w:p>
    <w:p w14:paraId="18356B68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</w:t>
      </w:r>
      <w:r>
        <w:t>: Base de datos relacional para las transacciones financieras.</w:t>
      </w:r>
    </w:p>
    <w:p w14:paraId="546640E8" w14:textId="77777777" w:rsidR="00890B54" w:rsidRDefault="00890B54" w:rsidP="00890B54">
      <w:pPr>
        <w:pStyle w:val="NormalWeb"/>
        <w:numPr>
          <w:ilvl w:val="0"/>
          <w:numId w:val="12"/>
        </w:numPr>
      </w:pPr>
      <w:r>
        <w:rPr>
          <w:rStyle w:val="Textoennegrita"/>
          <w:rFonts w:eastAsiaTheme="majorEastAsia"/>
        </w:rPr>
        <w:t>Microservicio de Envíos</w:t>
      </w:r>
      <w:r>
        <w:t>:</w:t>
      </w:r>
    </w:p>
    <w:p w14:paraId="71D4F319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</w:t>
      </w:r>
      <w:r>
        <w:t>: Coordinación de envíos, gestión de transportistas, seguimiento de entregas.</w:t>
      </w:r>
    </w:p>
    <w:p w14:paraId="117EF8BA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</w:t>
      </w:r>
      <w:r>
        <w:t>: Base de datos relacional para las rutas y asignación de pedidos.</w:t>
      </w:r>
    </w:p>
    <w:p w14:paraId="4F18A7C0" w14:textId="77777777" w:rsidR="00890B54" w:rsidRDefault="00890B54" w:rsidP="00890B54">
      <w:pPr>
        <w:pStyle w:val="NormalWeb"/>
        <w:numPr>
          <w:ilvl w:val="0"/>
          <w:numId w:val="12"/>
        </w:numPr>
      </w:pPr>
      <w:r>
        <w:rPr>
          <w:rStyle w:val="Textoennegrita"/>
          <w:rFonts w:eastAsiaTheme="majorEastAsia"/>
        </w:rPr>
        <w:t>Microservicio de Inventarios</w:t>
      </w:r>
      <w:r>
        <w:t>:</w:t>
      </w:r>
    </w:p>
    <w:p w14:paraId="7FE842B8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Responsabilidad</w:t>
      </w:r>
      <w:r>
        <w:t>: Gestión de niveles de stock, actualizaciones en tiempo real sobre disponibilidad de productos.</w:t>
      </w:r>
    </w:p>
    <w:p w14:paraId="0C54821C" w14:textId="77777777" w:rsidR="00890B54" w:rsidRDefault="00890B54" w:rsidP="00890B54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</w:t>
      </w:r>
      <w:r>
        <w:t>: Base de datos relacional para control de inventarios.</w:t>
      </w:r>
    </w:p>
    <w:p w14:paraId="211029FD" w14:textId="77777777" w:rsidR="00890B54" w:rsidRDefault="00890B54" w:rsidP="00890B54">
      <w:pPr>
        <w:pStyle w:val="NormalWeb"/>
      </w:pPr>
      <w:r>
        <w:t>Cada uno de estos microservicios será autónomo, gestionando sus propios datos y lógica de negocio, con la finalidad de optimizar la escalabilidad y resiliencia del sistema.</w:t>
      </w:r>
    </w:p>
    <w:p w14:paraId="7C3E3931" w14:textId="77777777" w:rsidR="00F678EA" w:rsidRDefault="00F678EA" w:rsidP="00890B54">
      <w:pPr>
        <w:pStyle w:val="NormalWeb"/>
        <w:rPr>
          <w:rStyle w:val="Textoennegrita"/>
          <w:rFonts w:eastAsiaTheme="majorEastAsia"/>
        </w:rPr>
      </w:pPr>
    </w:p>
    <w:p w14:paraId="0427A322" w14:textId="39C957E8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1.2. Comunicación entre Microservicios</w:t>
      </w:r>
    </w:p>
    <w:p w14:paraId="7FAA091E" w14:textId="6BE0C15A" w:rsidR="00890B54" w:rsidRDefault="00890B54" w:rsidP="00890B5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Comunicación sincrónica</w:t>
      </w:r>
      <w:r>
        <w:t xml:space="preserve">: Utilizar </w:t>
      </w:r>
      <w:r>
        <w:rPr>
          <w:rStyle w:val="Textoennegrita"/>
        </w:rPr>
        <w:t>HTTP/REST (Interfaz de Sistema Basado en el Protocolo)</w:t>
      </w:r>
      <w:r>
        <w:t xml:space="preserve"> o </w:t>
      </w:r>
      <w:r>
        <w:rPr>
          <w:rStyle w:val="Textoennegrita"/>
        </w:rPr>
        <w:t>gRPC (Google Remote Procedure Call</w:t>
      </w:r>
      <w:r w:rsidR="00F678EA">
        <w:rPr>
          <w:rStyle w:val="Textoennegrita"/>
        </w:rPr>
        <w:t xml:space="preserve">), </w:t>
      </w:r>
      <w:r w:rsidR="00F678EA">
        <w:t>para</w:t>
      </w:r>
      <w:r>
        <w:t xml:space="preserve"> las interacciones entre servicios que requieran respuestas rápidas, como la validación de pagos o la confirmación de pedidos.</w:t>
      </w:r>
    </w:p>
    <w:p w14:paraId="392CC5D3" w14:textId="77777777" w:rsidR="00890B54" w:rsidRDefault="00890B54" w:rsidP="00890B5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Textoennegrita"/>
        </w:rPr>
        <w:t>Comunicación asincrónica</w:t>
      </w:r>
      <w:r>
        <w:t xml:space="preserve">: Utilizar sistemas de mensajería como </w:t>
      </w:r>
      <w:r>
        <w:rPr>
          <w:rStyle w:val="Textoennegrita"/>
        </w:rPr>
        <w:t>Kafka</w:t>
      </w:r>
      <w:r>
        <w:t xml:space="preserve"> o </w:t>
      </w:r>
      <w:r>
        <w:rPr>
          <w:rStyle w:val="Textoennegrita"/>
        </w:rPr>
        <w:t>RabbitMQ</w:t>
      </w:r>
      <w:r>
        <w:t xml:space="preserve"> para eventos entre microservicios, permitiendo una mayor flexibilidad y desacoplamiento.</w:t>
      </w:r>
    </w:p>
    <w:p w14:paraId="05AE084C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API Gateway</w:t>
      </w:r>
      <w:r>
        <w:t>:</w:t>
      </w:r>
    </w:p>
    <w:p w14:paraId="0080FA85" w14:textId="77777777" w:rsidR="00890B54" w:rsidRDefault="00890B54" w:rsidP="00890B5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El </w:t>
      </w:r>
      <w:r>
        <w:rPr>
          <w:rStyle w:val="Textoennegrita"/>
        </w:rPr>
        <w:t>API Gateway</w:t>
      </w:r>
      <w:r>
        <w:t xml:space="preserve"> será el punto de entrada único para los clientes y gestionará la autenticación y autorización mediante </w:t>
      </w:r>
      <w:r>
        <w:rPr>
          <w:rStyle w:val="Textoennegrita"/>
        </w:rPr>
        <w:t>OAuth2/JWT</w:t>
      </w:r>
      <w:r>
        <w:t>.</w:t>
      </w:r>
    </w:p>
    <w:p w14:paraId="6F17688D" w14:textId="77777777" w:rsidR="00890B54" w:rsidRDefault="00890B54" w:rsidP="00890B5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El API Gateway también dirigirá las solicitudes a los microservicios adecuados, como el microservicio de productos, pagos y envíos, para completar el ciclo de compra.</w:t>
      </w:r>
    </w:p>
    <w:p w14:paraId="7012D7D1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1.3. Gestión de Datos y Persistencia</w:t>
      </w:r>
    </w:p>
    <w:p w14:paraId="1DEE5634" w14:textId="77777777" w:rsidR="00890B54" w:rsidRDefault="00890B54" w:rsidP="00890B54">
      <w:pPr>
        <w:pStyle w:val="NormalWeb"/>
      </w:pPr>
      <w:r>
        <w:t>Cada microservicio tendrá su propia base de datos para asegurar el desacoplamiento y permitir una mayor resiliencia:</w:t>
      </w:r>
    </w:p>
    <w:p w14:paraId="5B6DC44F" w14:textId="77777777" w:rsidR="00890B54" w:rsidRDefault="00890B54" w:rsidP="00890B5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 descentralizada</w:t>
      </w:r>
      <w:r>
        <w:t>: El sistema no dependerá de una base de datos centralizada, lo que permitirá que cada servicio gestione sus propios datos de forma independiente.</w:t>
      </w:r>
    </w:p>
    <w:p w14:paraId="1D10E61D" w14:textId="77777777" w:rsidR="00890B54" w:rsidRDefault="00890B54" w:rsidP="00890B5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Textoennegrita"/>
        </w:rPr>
        <w:t>Consistencia eventual</w:t>
      </w:r>
      <w:r>
        <w:t xml:space="preserve">: El patrón </w:t>
      </w:r>
      <w:r>
        <w:rPr>
          <w:rStyle w:val="Textoennegrita"/>
        </w:rPr>
        <w:t>event sourcing</w:t>
      </w:r>
      <w:r>
        <w:t xml:space="preserve"> y </w:t>
      </w:r>
      <w:r>
        <w:rPr>
          <w:rStyle w:val="Textoennegrita"/>
        </w:rPr>
        <w:t>CQRS</w:t>
      </w:r>
      <w:r>
        <w:t xml:space="preserve"> serán utilizados para asegurar que los datos entre microservicios sean consistentes sin depender de una base de datos centralizada.</w:t>
      </w:r>
    </w:p>
    <w:p w14:paraId="2C58B117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1.4. Gestión de Configuración</w:t>
      </w:r>
    </w:p>
    <w:p w14:paraId="618E8EED" w14:textId="77777777" w:rsidR="00890B54" w:rsidRDefault="00890B54" w:rsidP="00890B54">
      <w:pPr>
        <w:pStyle w:val="NormalWeb"/>
      </w:pPr>
      <w:r>
        <w:t xml:space="preserve">Para garantizar que cada microservicio pueda ser configurado de forma independiente y eficiente, se utilizarán soluciones de configuración centralizada como </w:t>
      </w:r>
      <w:r>
        <w:rPr>
          <w:rStyle w:val="Textoennegrita"/>
          <w:rFonts w:eastAsiaTheme="majorEastAsia"/>
        </w:rPr>
        <w:t>Spring Cloud Config</w:t>
      </w:r>
      <w:r>
        <w:t xml:space="preserve"> o </w:t>
      </w:r>
      <w:r>
        <w:rPr>
          <w:rStyle w:val="Textoennegrita"/>
          <w:rFonts w:eastAsiaTheme="majorEastAsia"/>
        </w:rPr>
        <w:t>Vault de HashiCorp</w:t>
      </w:r>
      <w:r>
        <w:t xml:space="preserve"> para gestionar configuraciones y secretos.</w:t>
      </w:r>
    </w:p>
    <w:p w14:paraId="350E168E" w14:textId="77777777" w:rsidR="00890B54" w:rsidRDefault="002B52C7" w:rsidP="00890B54">
      <w:r>
        <w:pict w14:anchorId="724A15ED">
          <v:rect id="_x0000_i1025" style="width:0;height:1.5pt" o:hralign="center" o:hrstd="t" o:hr="t" fillcolor="#a0a0a0" stroked="f"/>
        </w:pict>
      </w:r>
    </w:p>
    <w:p w14:paraId="7884141C" w14:textId="77777777" w:rsidR="00890B54" w:rsidRDefault="00890B54" w:rsidP="00890B54">
      <w:pPr>
        <w:pStyle w:val="Ttulo4"/>
      </w:pPr>
      <w:r>
        <w:t xml:space="preserve">2. </w:t>
      </w:r>
      <w:r>
        <w:rPr>
          <w:rStyle w:val="Textoennegrita"/>
          <w:b w:val="0"/>
          <w:bCs w:val="0"/>
        </w:rPr>
        <w:t>Infraestructura y Despliegue</w:t>
      </w:r>
    </w:p>
    <w:p w14:paraId="7E045DCB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2.1. Contenedores y Orquestación</w:t>
      </w:r>
    </w:p>
    <w:p w14:paraId="088F3D0B" w14:textId="77777777" w:rsidR="00890B54" w:rsidRDefault="00890B54" w:rsidP="00890B54">
      <w:pPr>
        <w:pStyle w:val="NormalWeb"/>
      </w:pPr>
      <w:r>
        <w:t xml:space="preserve">EcoMarket SPA utilizará </w:t>
      </w:r>
      <w:r>
        <w:rPr>
          <w:rStyle w:val="Textoennegrita"/>
          <w:rFonts w:eastAsiaTheme="majorEastAsia"/>
        </w:rPr>
        <w:t>Docker</w:t>
      </w:r>
      <w:r>
        <w:t xml:space="preserve"> para empaquetar los microservicios en contenedores, asegurando que el sistema se ejecute de manera consistente a través de los entornos de desarrollo, prueba y producción. Además, </w:t>
      </w:r>
      <w:r>
        <w:rPr>
          <w:rStyle w:val="Textoennegrita"/>
          <w:rFonts w:eastAsiaTheme="majorEastAsia"/>
        </w:rPr>
        <w:t>Kubernetes</w:t>
      </w:r>
      <w:r>
        <w:t xml:space="preserve"> gestionará la orquestación de los contenedores, proporcionando escalabilidad y alta disponibilidad.</w:t>
      </w:r>
    </w:p>
    <w:p w14:paraId="7A25920E" w14:textId="77777777" w:rsidR="00890B54" w:rsidRDefault="00890B54" w:rsidP="00890B5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Kubernetes</w:t>
      </w:r>
      <w:r>
        <w:t xml:space="preserve"> manejará el ciclo de vida de los microservicios, gestionando el escalado automático y la tolerancia a fallos.</w:t>
      </w:r>
    </w:p>
    <w:p w14:paraId="0E6112BC" w14:textId="77777777" w:rsidR="00890B54" w:rsidRDefault="00890B54" w:rsidP="00890B5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Textoennegrita"/>
        </w:rPr>
        <w:t>Servicios y Pods</w:t>
      </w:r>
      <w:r>
        <w:t>: Cada microservicio se desplegará como un conjunto de Pods en Kubernetes, garantizando su alta disponibilidad y resiliencia.</w:t>
      </w:r>
    </w:p>
    <w:p w14:paraId="3D185C49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2.2. Monitorización y Logging</w:t>
      </w:r>
    </w:p>
    <w:p w14:paraId="6A9939E1" w14:textId="77777777" w:rsidR="00890B54" w:rsidRDefault="00890B54" w:rsidP="00890B54">
      <w:pPr>
        <w:pStyle w:val="NormalWeb"/>
      </w:pPr>
      <w:r>
        <w:t>La monitorización y el logging son esenciales para asegurar el correcto funcionamiento del sistema:</w:t>
      </w:r>
    </w:p>
    <w:p w14:paraId="134E5305" w14:textId="77777777" w:rsidR="00890B54" w:rsidRDefault="00890B54" w:rsidP="00890B5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Monitorización</w:t>
      </w:r>
      <w:r>
        <w:t xml:space="preserve">: Se utilizarán herramientas como </w:t>
      </w:r>
      <w:r>
        <w:rPr>
          <w:rStyle w:val="Textoennegrita"/>
        </w:rPr>
        <w:t>Prometheus</w:t>
      </w:r>
      <w:r>
        <w:t xml:space="preserve"> y </w:t>
      </w:r>
      <w:r>
        <w:rPr>
          <w:rStyle w:val="Textoennegrita"/>
        </w:rPr>
        <w:t>Grafana</w:t>
      </w:r>
      <w:r>
        <w:t xml:space="preserve"> para rastrear el rendimiento de cada microservicio y asegurar su correcto funcionamiento.</w:t>
      </w:r>
    </w:p>
    <w:p w14:paraId="3ED397F8" w14:textId="77777777" w:rsidR="00890B54" w:rsidRDefault="00890B54" w:rsidP="00890B5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Textoennegrita"/>
        </w:rPr>
        <w:t>Logging Centralizado</w:t>
      </w:r>
      <w:r>
        <w:t xml:space="preserve">: Los logs de todos los microservicios se enviarán a un sistema centralizado como </w:t>
      </w:r>
      <w:r>
        <w:rPr>
          <w:rStyle w:val="Textoennegrita"/>
        </w:rPr>
        <w:t>ELK Stack</w:t>
      </w:r>
      <w:r>
        <w:t xml:space="preserve"> (Elasticsearch, Logstash, Kibana) o </w:t>
      </w:r>
      <w:r>
        <w:rPr>
          <w:rStyle w:val="Textoennegrita"/>
        </w:rPr>
        <w:t>EFK Stack</w:t>
      </w:r>
      <w:r>
        <w:t>, para poder realizar un análisis eficiente de los eventos.</w:t>
      </w:r>
    </w:p>
    <w:p w14:paraId="5679E4ED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2.3. Seguridad</w:t>
      </w:r>
    </w:p>
    <w:p w14:paraId="1D503E27" w14:textId="77777777" w:rsidR="00890B54" w:rsidRDefault="00890B54" w:rsidP="00890B54">
      <w:pPr>
        <w:pStyle w:val="NormalWeb"/>
      </w:pPr>
      <w:r>
        <w:t>La seguridad será clave, especialmente en la protección de los datos personales y las transacciones de pago:</w:t>
      </w:r>
    </w:p>
    <w:p w14:paraId="2A6D20C8" w14:textId="77777777" w:rsidR="00890B54" w:rsidRDefault="00890B54" w:rsidP="00890B5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Autenticación y Autorización</w:t>
      </w:r>
      <w:r>
        <w:t xml:space="preserve">: Se implementará una solución centralizada de autenticación utilizando </w:t>
      </w:r>
      <w:r>
        <w:rPr>
          <w:rStyle w:val="Textoennegrita"/>
        </w:rPr>
        <w:t>OAuth2/JWT</w:t>
      </w:r>
      <w:r>
        <w:t xml:space="preserve"> para autenticar las solicitudes a los microservicios.</w:t>
      </w:r>
    </w:p>
    <w:p w14:paraId="378F5E7E" w14:textId="77777777" w:rsidR="00890B54" w:rsidRDefault="00890B54" w:rsidP="00890B5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Cifrado</w:t>
      </w:r>
      <w:r>
        <w:t xml:space="preserve">: Las comunicaciones entre los microservicios estarán protegidas mediante </w:t>
      </w:r>
      <w:r>
        <w:rPr>
          <w:rStyle w:val="Textoennegrita"/>
        </w:rPr>
        <w:t>TLS</w:t>
      </w:r>
      <w:r>
        <w:t xml:space="preserve"> para garantizar la confidencialidad y seguridad de los datos.</w:t>
      </w:r>
    </w:p>
    <w:p w14:paraId="1228C657" w14:textId="77777777" w:rsidR="00890B54" w:rsidRDefault="002B52C7" w:rsidP="00890B54">
      <w:pPr>
        <w:spacing w:after="0"/>
      </w:pPr>
      <w:r>
        <w:pict w14:anchorId="1F380E00">
          <v:rect id="_x0000_i1026" style="width:0;height:1.5pt" o:hralign="center" o:hrstd="t" o:hr="t" fillcolor="#a0a0a0" stroked="f"/>
        </w:pict>
      </w:r>
    </w:p>
    <w:p w14:paraId="414DC4C8" w14:textId="77777777" w:rsidR="00890B54" w:rsidRDefault="00890B54" w:rsidP="00890B54">
      <w:pPr>
        <w:pStyle w:val="Ttulo4"/>
      </w:pPr>
      <w:r>
        <w:t xml:space="preserve">3. </w:t>
      </w:r>
      <w:r>
        <w:rPr>
          <w:rStyle w:val="Textoennegrita"/>
          <w:b w:val="0"/>
          <w:bCs w:val="0"/>
        </w:rPr>
        <w:t>DevOps y Gestión de Ciclo de Vida</w:t>
      </w:r>
    </w:p>
    <w:p w14:paraId="5F8309F1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3.1. CI/CD</w:t>
      </w:r>
    </w:p>
    <w:p w14:paraId="412141DC" w14:textId="77777777" w:rsidR="00890B54" w:rsidRDefault="00890B54" w:rsidP="00890B54">
      <w:pPr>
        <w:pStyle w:val="NormalWeb"/>
      </w:pPr>
      <w:r>
        <w:t xml:space="preserve">La automatización de los despliegues será crucial para la escalabilidad y flexibilidad de EcoMarket SPA. Se implementará un sistema de </w:t>
      </w:r>
      <w:r>
        <w:rPr>
          <w:rStyle w:val="Textoennegrita"/>
          <w:rFonts w:eastAsiaTheme="majorEastAsia"/>
        </w:rPr>
        <w:t>CI/CD</w:t>
      </w:r>
      <w:r>
        <w:t xml:space="preserve"> para facilitar la integración continua y el despliegue continuo de cada microservicio.</w:t>
      </w:r>
    </w:p>
    <w:p w14:paraId="33E8708F" w14:textId="77777777" w:rsidR="00890B54" w:rsidRDefault="00890B54" w:rsidP="00890B5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Textoennegrita"/>
        </w:rPr>
        <w:t>Jenkins</w:t>
      </w:r>
      <w:r>
        <w:t xml:space="preserve"> o </w:t>
      </w:r>
      <w:r>
        <w:rPr>
          <w:rStyle w:val="Textoennegrita"/>
        </w:rPr>
        <w:t>GitLab CI</w:t>
      </w:r>
      <w:r>
        <w:t xml:space="preserve"> serán utilizados para la integración y despliegue de los microservicios, lo que garantizará la eficiencia en las pruebas y el lanzamiento de nuevas versiones.</w:t>
      </w:r>
    </w:p>
    <w:p w14:paraId="7732FD68" w14:textId="77777777" w:rsidR="00890B54" w:rsidRDefault="00890B54" w:rsidP="00890B54">
      <w:pPr>
        <w:pStyle w:val="NormalWeb"/>
      </w:pPr>
      <w:r>
        <w:rPr>
          <w:rStyle w:val="Textoennegrita"/>
          <w:rFonts w:eastAsiaTheme="majorEastAsia"/>
        </w:rPr>
        <w:t>3.2. Versionado de APIs</w:t>
      </w:r>
    </w:p>
    <w:p w14:paraId="7A30685A" w14:textId="77777777" w:rsidR="00890B54" w:rsidRDefault="00890B54" w:rsidP="00890B54">
      <w:pPr>
        <w:pStyle w:val="NormalWeb"/>
      </w:pPr>
      <w:r>
        <w:t xml:space="preserve">Para garantizar la compatibilidad de las APIs a medida que el sistema evoluciona, se utilizarán herramientas como </w:t>
      </w:r>
      <w:r>
        <w:rPr>
          <w:rStyle w:val="Textoennegrita"/>
          <w:rFonts w:eastAsiaTheme="majorEastAsia"/>
        </w:rPr>
        <w:t>Swagger</w:t>
      </w:r>
      <w:r>
        <w:t xml:space="preserve"> o </w:t>
      </w:r>
      <w:r>
        <w:rPr>
          <w:rStyle w:val="Textoennegrita"/>
          <w:rFonts w:eastAsiaTheme="majorEastAsia"/>
        </w:rPr>
        <w:t>OpenAPI</w:t>
      </w:r>
      <w:r>
        <w:t xml:space="preserve"> para gestionar el versionado y documentación de las APIs.</w:t>
      </w:r>
    </w:p>
    <w:p w14:paraId="2E20425A" w14:textId="19F8BD81" w:rsidR="00890B54" w:rsidRDefault="00890B54" w:rsidP="00890B54"/>
    <w:p w14:paraId="05168322" w14:textId="77777777" w:rsidR="00890B54" w:rsidRDefault="00890B54" w:rsidP="00890B54">
      <w:pPr>
        <w:pStyle w:val="Ttulo3"/>
        <w:rPr>
          <w:rStyle w:val="Textoennegrita"/>
          <w:b w:val="0"/>
          <w:bCs w:val="0"/>
        </w:rPr>
      </w:pPr>
    </w:p>
    <w:p w14:paraId="269E41B3" w14:textId="37CE6C1E" w:rsidR="00890B54" w:rsidRDefault="00890B54" w:rsidP="00890B54">
      <w:pPr>
        <w:pStyle w:val="Ttulo3"/>
      </w:pPr>
      <w:r>
        <w:rPr>
          <w:rStyle w:val="Textoennegrita"/>
          <w:b w:val="0"/>
          <w:bCs w:val="0"/>
        </w:rPr>
        <w:t>Conclusión</w:t>
      </w:r>
    </w:p>
    <w:p w14:paraId="204B430D" w14:textId="77777777" w:rsidR="00890B54" w:rsidRDefault="00890B54" w:rsidP="00890B54">
      <w:pPr>
        <w:pStyle w:val="NormalWeb"/>
      </w:pPr>
      <w:r>
        <w:t>El diseño de la nueva arquitectura de microservicios de EcoMarket SPA está alineado con los objetivos de la empresa de mejorar la eficiencia operativa, la escalabilidad y la experiencia del cliente. Este sistema permitirá que EcoMarket SPA pueda crecer de manera sostenible, facilitando la expansión a nivel nacional y mejorando la calidad de los servicios tanto en tiendas físicas como en línea.</w:t>
      </w:r>
    </w:p>
    <w:p w14:paraId="02580718" w14:textId="77777777" w:rsidR="00890B54" w:rsidRDefault="00890B54" w:rsidP="00890B54">
      <w:pPr>
        <w:pStyle w:val="NormalWeb"/>
      </w:pPr>
      <w:r>
        <w:t>Este enfoque garantiza que el sistema será flexible, escalable y fácil de mantener a medida que EcoMarket SPA se expanda y continúe promoviendo productos ecológicos en Chile.</w:t>
      </w:r>
    </w:p>
    <w:p w14:paraId="2C6A3301" w14:textId="77777777" w:rsidR="001A6037" w:rsidRDefault="001A6037"/>
    <w:sectPr w:rsidR="001A6037" w:rsidSect="006057A7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420"/>
    <w:multiLevelType w:val="multilevel"/>
    <w:tmpl w:val="34E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3FF"/>
    <w:multiLevelType w:val="multilevel"/>
    <w:tmpl w:val="5C8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8C3"/>
    <w:multiLevelType w:val="multilevel"/>
    <w:tmpl w:val="095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5656C"/>
    <w:multiLevelType w:val="multilevel"/>
    <w:tmpl w:val="42BC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D50E1"/>
    <w:multiLevelType w:val="multilevel"/>
    <w:tmpl w:val="015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4174"/>
    <w:multiLevelType w:val="multilevel"/>
    <w:tmpl w:val="9E6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C47DA"/>
    <w:multiLevelType w:val="multilevel"/>
    <w:tmpl w:val="73C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54EDC"/>
    <w:multiLevelType w:val="multilevel"/>
    <w:tmpl w:val="13E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51F05"/>
    <w:multiLevelType w:val="multilevel"/>
    <w:tmpl w:val="964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C0680"/>
    <w:multiLevelType w:val="multilevel"/>
    <w:tmpl w:val="044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B6749"/>
    <w:multiLevelType w:val="multilevel"/>
    <w:tmpl w:val="3F3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11F9C"/>
    <w:multiLevelType w:val="multilevel"/>
    <w:tmpl w:val="CEB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C5A0B"/>
    <w:multiLevelType w:val="multilevel"/>
    <w:tmpl w:val="46B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F7294"/>
    <w:multiLevelType w:val="multilevel"/>
    <w:tmpl w:val="BF54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E50C5"/>
    <w:multiLevelType w:val="multilevel"/>
    <w:tmpl w:val="A55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6627D"/>
    <w:multiLevelType w:val="multilevel"/>
    <w:tmpl w:val="208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32B75"/>
    <w:multiLevelType w:val="multilevel"/>
    <w:tmpl w:val="B67A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9774F"/>
    <w:multiLevelType w:val="multilevel"/>
    <w:tmpl w:val="A66C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F0114"/>
    <w:multiLevelType w:val="multilevel"/>
    <w:tmpl w:val="37A2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17"/>
  </w:num>
  <w:num w:numId="8">
    <w:abstractNumId w:val="18"/>
  </w:num>
  <w:num w:numId="9">
    <w:abstractNumId w:val="4"/>
  </w:num>
  <w:num w:numId="10">
    <w:abstractNumId w:val="2"/>
  </w:num>
  <w:num w:numId="11">
    <w:abstractNumId w:val="3"/>
  </w:num>
  <w:num w:numId="12">
    <w:abstractNumId w:val="7"/>
  </w:num>
  <w:num w:numId="13">
    <w:abstractNumId w:val="14"/>
  </w:num>
  <w:num w:numId="14">
    <w:abstractNumId w:val="12"/>
  </w:num>
  <w:num w:numId="15">
    <w:abstractNumId w:val="15"/>
  </w:num>
  <w:num w:numId="16">
    <w:abstractNumId w:val="0"/>
  </w:num>
  <w:num w:numId="17">
    <w:abstractNumId w:val="16"/>
  </w:num>
  <w:num w:numId="18">
    <w:abstractNumId w:val="1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A7"/>
    <w:rsid w:val="001A6037"/>
    <w:rsid w:val="001C1D0E"/>
    <w:rsid w:val="002B4DF6"/>
    <w:rsid w:val="002B52C7"/>
    <w:rsid w:val="0051274F"/>
    <w:rsid w:val="006057A7"/>
    <w:rsid w:val="008462B0"/>
    <w:rsid w:val="00890B54"/>
    <w:rsid w:val="008D1CA9"/>
    <w:rsid w:val="00ED02FE"/>
    <w:rsid w:val="00F6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635D0"/>
  <w15:chartTrackingRefBased/>
  <w15:docId w15:val="{44E473CA-2DD9-4154-8877-98F9CD6E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7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7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7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7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7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7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7A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057A7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57A7"/>
    <w:rPr>
      <w:rFonts w:eastAsiaTheme="minorEastAsia"/>
      <w:kern w:val="0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890B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8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1011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Ecomarket spa</vt:lpstr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Ecomarket spa</dc:title>
  <dc:subject/>
  <dc:creator>Alexis Duran Contreras</dc:creator>
  <cp:keywords/>
  <dc:description/>
  <cp:lastModifiedBy>Duoc</cp:lastModifiedBy>
  <cp:revision>5</cp:revision>
  <dcterms:created xsi:type="dcterms:W3CDTF">2025-03-19T14:09:00Z</dcterms:created>
  <dcterms:modified xsi:type="dcterms:W3CDTF">2025-03-24T15:12:00Z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55b24b8-e69b-4583-bfd0-d64b5cee0119_Enabled">
    <vt:lpwstr>true</vt:lpwstr>
  </property>
  <property fmtid="{D5CDD505-2E9C-101B-9397-08002B2CF9AE}" pid="3" name="MSIP_Label_455b24b8-e69b-4583-bfd0-d64b5cee0119_SetDate">
    <vt:lpwstr>2025-03-13T19:23:25Z</vt:lpwstr>
  </property>
  <property fmtid="{D5CDD505-2E9C-101B-9397-08002B2CF9AE}" pid="4" name="MSIP_Label_455b24b8-e69b-4583-bfd0-d64b5cee0119_Method">
    <vt:lpwstr>Privileged</vt:lpwstr>
  </property>
  <property fmtid="{D5CDD505-2E9C-101B-9397-08002B2CF9AE}" pid="5" name="MSIP_Label_455b24b8-e69b-4583-bfd0-d64b5cee0119_Name">
    <vt:lpwstr>Public</vt:lpwstr>
  </property>
  <property fmtid="{D5CDD505-2E9C-101B-9397-08002B2CF9AE}" pid="6" name="MSIP_Label_455b24b8-e69b-4583-bfd0-d64b5cee0119_SiteId">
    <vt:lpwstr>05d75c05-fa1a-42e7-9cf1-eb416c396f2d</vt:lpwstr>
  </property>
  <property fmtid="{D5CDD505-2E9C-101B-9397-08002B2CF9AE}" pid="7" name="MSIP_Label_455b24b8-e69b-4583-bfd0-d64b5cee0119_ActionId">
    <vt:lpwstr>f5bdd767-d22d-46cb-85de-1a5a84d2512e</vt:lpwstr>
  </property>
  <property fmtid="{D5CDD505-2E9C-101B-9397-08002B2CF9AE}" pid="8" name="MSIP_Label_455b24b8-e69b-4583-bfd0-d64b5cee0119_ContentBits">
    <vt:lpwstr>0</vt:lpwstr>
  </property>
  <property fmtid="{D5CDD505-2E9C-101B-9397-08002B2CF9AE}" pid="9" name="MSIP_Label_455b24b8-e69b-4583-bfd0-d64b5cee0119_Tag">
    <vt:lpwstr>10, 0, 1, 1</vt:lpwstr>
  </property>
</Properties>
</file>