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leftFromText="141" w:rightFromText="141" w:vertAnchor="text" w:horzAnchor="margin" w:tblpX="-572" w:tblpY="-26"/>
        <w:tblW w:w="110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701"/>
        <w:gridCol w:w="1417"/>
        <w:gridCol w:w="1701"/>
        <w:gridCol w:w="1418"/>
        <w:gridCol w:w="1417"/>
        <w:gridCol w:w="1423"/>
      </w:tblGrid>
      <w:tr w14:paraId="0D96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980" w:type="dxa"/>
            <w:vAlign w:val="center"/>
          </w:tcPr>
          <w:p w14:paraId="0334A762">
            <w:pPr>
              <w:spacing w:after="0" w:line="240" w:lineRule="auto"/>
              <w:rPr>
                <w:rFonts w:ascii="Arial" w:hAnsi="Arial" w:cs="Arial"/>
                <w:b/>
                <w:sz w:val="18"/>
                <w:szCs w:val="18"/>
              </w:rPr>
            </w:pPr>
            <w:r>
              <w:rPr>
                <w:rFonts w:ascii="Arial" w:hAnsi="Arial" w:cs="Arial"/>
                <w:b/>
                <w:sz w:val="18"/>
                <w:szCs w:val="18"/>
              </w:rPr>
              <w:t>Firma / Müşteri Adı</w:t>
            </w:r>
          </w:p>
        </w:tc>
        <w:tc>
          <w:tcPr>
            <w:tcW w:w="4819" w:type="dxa"/>
            <w:gridSpan w:val="3"/>
            <w:vAlign w:val="center"/>
          </w:tcPr>
          <w:p w14:paraId="03C3CB02">
            <w:pPr>
              <w:spacing w:after="0" w:line="240" w:lineRule="auto"/>
              <w:rPr>
                <w:rFonts w:ascii="Arial" w:hAnsi="Arial" w:eastAsia="Times New Roman" w:cs="Arial"/>
                <w:sz w:val="18"/>
                <w:szCs w:val="18"/>
                <w:lang w:eastAsia="tr-TR"/>
              </w:rPr>
            </w:pPr>
            <w:r>
              <w:rPr>
                <w:rFonts w:hint="default" w:ascii="Arial" w:hAnsi="Arial" w:eastAsia="Times New Roman"/>
                <w:sz w:val="18"/>
                <w:szCs w:val="18"/>
                <w:lang w:eastAsia="tr-TR"/>
              </w:rPr>
              <w:t>{{ musteri_adi }}</w:t>
            </w:r>
          </w:p>
        </w:tc>
        <w:tc>
          <w:tcPr>
            <w:tcW w:w="1418" w:type="dxa"/>
            <w:vMerge w:val="restart"/>
            <w:vAlign w:val="center"/>
          </w:tcPr>
          <w:p w14:paraId="094FCDF8">
            <w:pPr>
              <w:spacing w:after="0" w:line="240" w:lineRule="auto"/>
              <w:jc w:val="center"/>
            </w:pPr>
            <w:r>
              <w:rPr>
                <w:rFonts w:ascii="Arial" w:hAnsi="Arial" w:cs="Arial"/>
                <w:b/>
                <w:lang w:eastAsia="tr-TR"/>
              </w:rPr>
              <w:drawing>
                <wp:inline distT="0" distB="0" distL="0" distR="0">
                  <wp:extent cx="704850" cy="101854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04850" cy="1019060"/>
                          </a:xfrm>
                          <a:prstGeom prst="rect">
                            <a:avLst/>
                          </a:prstGeom>
                          <a:noFill/>
                        </pic:spPr>
                      </pic:pic>
                    </a:graphicData>
                  </a:graphic>
                </wp:inline>
              </w:drawing>
            </w:r>
          </w:p>
        </w:tc>
        <w:tc>
          <w:tcPr>
            <w:tcW w:w="1417" w:type="dxa"/>
            <w:vMerge w:val="restart"/>
          </w:tcPr>
          <w:p w14:paraId="51BCB09A">
            <w:pPr>
              <w:spacing w:after="0" w:line="240" w:lineRule="auto"/>
              <w:jc w:val="center"/>
            </w:pPr>
            <w:r>
              <w:rPr>
                <w:lang w:eastAsia="tr-TR"/>
              </w:rPr>
              <w:drawing>
                <wp:anchor distT="0" distB="0" distL="114300" distR="114300" simplePos="0" relativeHeight="251659264" behindDoc="1" locked="0" layoutInCell="1" allowOverlap="1">
                  <wp:simplePos x="0" y="0"/>
                  <wp:positionH relativeFrom="column">
                    <wp:posOffset>-67945</wp:posOffset>
                  </wp:positionH>
                  <wp:positionV relativeFrom="paragraph">
                    <wp:posOffset>2540</wp:posOffset>
                  </wp:positionV>
                  <wp:extent cx="838200" cy="800100"/>
                  <wp:effectExtent l="0" t="0" r="0" b="0"/>
                  <wp:wrapNone/>
                  <wp:docPr id="3" name="Resim 3" descr="C:\Users\akdeg\AppData\Local\Microsoft\Windows\INetCache\Content.Word\İsgü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C:\Users\akdeg\AppData\Local\Microsoft\Windows\INetCache\Content.Word\İsgü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9194" cy="801049"/>
                          </a:xfrm>
                          <a:prstGeom prst="rect">
                            <a:avLst/>
                          </a:prstGeom>
                          <a:noFill/>
                          <a:ln>
                            <a:noFill/>
                          </a:ln>
                        </pic:spPr>
                      </pic:pic>
                    </a:graphicData>
                  </a:graphic>
                </wp:anchor>
              </w:drawing>
            </w:r>
          </w:p>
        </w:tc>
        <w:tc>
          <w:tcPr>
            <w:tcW w:w="1423" w:type="dxa"/>
            <w:vMerge w:val="restart"/>
          </w:tcPr>
          <w:p w14:paraId="559D4616">
            <w:pPr>
              <w:spacing w:after="0" w:line="240" w:lineRule="auto"/>
              <w:jc w:val="center"/>
            </w:pPr>
            <w:r>
              <w:drawing>
                <wp:anchor distT="0" distB="0" distL="114300" distR="114300" simplePos="0" relativeHeight="251660288" behindDoc="1" locked="0" layoutInCell="1" allowOverlap="1">
                  <wp:simplePos x="0" y="0"/>
                  <wp:positionH relativeFrom="column">
                    <wp:posOffset>-43180</wp:posOffset>
                  </wp:positionH>
                  <wp:positionV relativeFrom="paragraph">
                    <wp:posOffset>2540</wp:posOffset>
                  </wp:positionV>
                  <wp:extent cx="857250" cy="857250"/>
                  <wp:effectExtent l="0" t="0" r="0" b="0"/>
                  <wp:wrapNone/>
                  <wp:docPr id="10769002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0291" name="Resim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pic:spPr>
                      </pic:pic>
                    </a:graphicData>
                  </a:graphic>
                </wp:anchor>
              </w:drawing>
            </w:r>
          </w:p>
        </w:tc>
      </w:tr>
      <w:tr w14:paraId="6A8B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980" w:type="dxa"/>
            <w:vAlign w:val="center"/>
          </w:tcPr>
          <w:p w14:paraId="63B24F8F">
            <w:pPr>
              <w:spacing w:after="0" w:line="240" w:lineRule="auto"/>
              <w:rPr>
                <w:rFonts w:ascii="Arial" w:hAnsi="Arial" w:cs="Arial"/>
                <w:b/>
                <w:sz w:val="18"/>
                <w:szCs w:val="18"/>
              </w:rPr>
            </w:pPr>
            <w:r>
              <w:rPr>
                <w:rFonts w:ascii="Arial" w:hAnsi="Arial" w:cs="Arial"/>
                <w:b/>
                <w:sz w:val="18"/>
                <w:szCs w:val="18"/>
              </w:rPr>
              <w:t xml:space="preserve">Firma Adresi: </w:t>
            </w:r>
          </w:p>
        </w:tc>
        <w:tc>
          <w:tcPr>
            <w:tcW w:w="4819" w:type="dxa"/>
            <w:gridSpan w:val="3"/>
          </w:tcPr>
          <w:p w14:paraId="4AA30FD8">
            <w:pPr>
              <w:spacing w:after="0" w:line="240" w:lineRule="auto"/>
              <w:rPr>
                <w:rFonts w:cs="Arial"/>
                <w:sz w:val="20"/>
              </w:rPr>
            </w:pPr>
            <w:r>
              <w:rPr>
                <w:rFonts w:hint="default"/>
                <w:sz w:val="20"/>
              </w:rPr>
              <w:t>{{ adres }}</w:t>
            </w:r>
          </w:p>
        </w:tc>
        <w:tc>
          <w:tcPr>
            <w:tcW w:w="1418" w:type="dxa"/>
            <w:vMerge w:val="continue"/>
          </w:tcPr>
          <w:p w14:paraId="6CA3A4B6">
            <w:pPr>
              <w:spacing w:after="0" w:line="240" w:lineRule="auto"/>
            </w:pPr>
          </w:p>
        </w:tc>
        <w:tc>
          <w:tcPr>
            <w:tcW w:w="1417" w:type="dxa"/>
            <w:vMerge w:val="continue"/>
          </w:tcPr>
          <w:p w14:paraId="6AA77071">
            <w:pPr>
              <w:spacing w:after="0" w:line="240" w:lineRule="auto"/>
            </w:pPr>
          </w:p>
        </w:tc>
        <w:tc>
          <w:tcPr>
            <w:tcW w:w="1423" w:type="dxa"/>
            <w:vMerge w:val="continue"/>
          </w:tcPr>
          <w:p w14:paraId="5CF2D2C0">
            <w:pPr>
              <w:spacing w:after="0" w:line="240" w:lineRule="auto"/>
            </w:pPr>
          </w:p>
        </w:tc>
      </w:tr>
      <w:tr w14:paraId="18FB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980" w:type="dxa"/>
            <w:vAlign w:val="center"/>
          </w:tcPr>
          <w:p w14:paraId="171C7A0B">
            <w:pPr>
              <w:spacing w:after="0" w:line="240" w:lineRule="auto"/>
              <w:rPr>
                <w:rFonts w:ascii="Arial" w:hAnsi="Arial" w:cs="Arial"/>
                <w:b/>
                <w:sz w:val="18"/>
                <w:szCs w:val="18"/>
              </w:rPr>
            </w:pPr>
            <w:r>
              <w:rPr>
                <w:rFonts w:ascii="Arial" w:hAnsi="Arial" w:cs="Arial"/>
                <w:b/>
                <w:sz w:val="18"/>
                <w:szCs w:val="18"/>
              </w:rPr>
              <w:t>Vergi No:</w:t>
            </w:r>
          </w:p>
        </w:tc>
        <w:tc>
          <w:tcPr>
            <w:tcW w:w="1701" w:type="dxa"/>
          </w:tcPr>
          <w:p w14:paraId="3A82BE81">
            <w:pPr>
              <w:spacing w:after="0" w:line="240" w:lineRule="auto"/>
              <w:jc w:val="center"/>
              <w:rPr>
                <w:rFonts w:ascii="Arial" w:hAnsi="Arial" w:eastAsia="Times New Roman" w:cs="Arial"/>
                <w:sz w:val="18"/>
                <w:szCs w:val="18"/>
                <w:lang w:eastAsia="tr-TR"/>
              </w:rPr>
            </w:pPr>
            <w:r>
              <w:rPr>
                <w:rFonts w:ascii="Arial" w:hAnsi="Arial" w:eastAsia="Times New Roman" w:cs="Arial"/>
                <w:sz w:val="18"/>
                <w:szCs w:val="18"/>
                <w:lang w:eastAsia="tr-TR"/>
              </w:rPr>
              <w:t>--</w:t>
            </w:r>
          </w:p>
        </w:tc>
        <w:tc>
          <w:tcPr>
            <w:tcW w:w="1417" w:type="dxa"/>
            <w:vAlign w:val="center"/>
          </w:tcPr>
          <w:p w14:paraId="44D331C8">
            <w:pPr>
              <w:spacing w:after="0" w:line="240" w:lineRule="auto"/>
              <w:rPr>
                <w:rFonts w:ascii="Arial" w:hAnsi="Arial" w:cs="Arial"/>
                <w:b/>
                <w:sz w:val="18"/>
                <w:szCs w:val="18"/>
              </w:rPr>
            </w:pPr>
            <w:r>
              <w:rPr>
                <w:rFonts w:ascii="Arial" w:hAnsi="Arial" w:cs="Arial"/>
                <w:b/>
                <w:sz w:val="18"/>
                <w:szCs w:val="18"/>
              </w:rPr>
              <w:t xml:space="preserve">Telefon Numarası: </w:t>
            </w:r>
          </w:p>
        </w:tc>
        <w:tc>
          <w:tcPr>
            <w:tcW w:w="1701" w:type="dxa"/>
            <w:vAlign w:val="center"/>
          </w:tcPr>
          <w:p w14:paraId="7529941A">
            <w:pPr>
              <w:spacing w:after="0" w:line="240" w:lineRule="auto"/>
              <w:jc w:val="center"/>
              <w:rPr>
                <w:rFonts w:ascii="Arial" w:hAnsi="Arial" w:cs="Arial"/>
                <w:sz w:val="18"/>
                <w:szCs w:val="18"/>
              </w:rPr>
            </w:pPr>
            <w:r>
              <w:rPr>
                <w:rFonts w:ascii="Arial" w:hAnsi="Arial" w:cs="Arial"/>
                <w:sz w:val="18"/>
                <w:szCs w:val="18"/>
              </w:rPr>
              <w:t>0542 644 59 39</w:t>
            </w:r>
          </w:p>
        </w:tc>
        <w:tc>
          <w:tcPr>
            <w:tcW w:w="1418" w:type="dxa"/>
            <w:vMerge w:val="continue"/>
          </w:tcPr>
          <w:p w14:paraId="5723B077">
            <w:pPr>
              <w:spacing w:after="0" w:line="240" w:lineRule="auto"/>
              <w:jc w:val="center"/>
              <w:rPr>
                <w:b/>
              </w:rPr>
            </w:pPr>
          </w:p>
        </w:tc>
        <w:tc>
          <w:tcPr>
            <w:tcW w:w="1417" w:type="dxa"/>
            <w:vMerge w:val="continue"/>
          </w:tcPr>
          <w:p w14:paraId="5DA0FD99">
            <w:pPr>
              <w:spacing w:after="0" w:line="240" w:lineRule="auto"/>
              <w:jc w:val="center"/>
              <w:rPr>
                <w:b/>
              </w:rPr>
            </w:pPr>
          </w:p>
        </w:tc>
        <w:tc>
          <w:tcPr>
            <w:tcW w:w="1423" w:type="dxa"/>
            <w:vMerge w:val="continue"/>
          </w:tcPr>
          <w:p w14:paraId="0F35AB5C">
            <w:pPr>
              <w:spacing w:after="0" w:line="240" w:lineRule="auto"/>
              <w:jc w:val="center"/>
              <w:rPr>
                <w:b/>
              </w:rPr>
            </w:pPr>
          </w:p>
        </w:tc>
      </w:tr>
      <w:tr w14:paraId="304D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trPr>
        <w:tc>
          <w:tcPr>
            <w:tcW w:w="1980" w:type="dxa"/>
            <w:vMerge w:val="restart"/>
            <w:vAlign w:val="center"/>
          </w:tcPr>
          <w:p w14:paraId="0AE89214">
            <w:pPr>
              <w:spacing w:after="0" w:line="240" w:lineRule="auto"/>
              <w:rPr>
                <w:rFonts w:ascii="Arial" w:hAnsi="Arial" w:cs="Arial"/>
                <w:b/>
                <w:sz w:val="18"/>
                <w:szCs w:val="18"/>
              </w:rPr>
            </w:pPr>
            <w:r>
              <w:rPr>
                <w:rFonts w:ascii="Arial" w:hAnsi="Arial" w:cs="Arial"/>
                <w:b/>
                <w:sz w:val="18"/>
                <w:szCs w:val="18"/>
              </w:rPr>
              <w:t>Vergi Dairesi:</w:t>
            </w:r>
          </w:p>
        </w:tc>
        <w:tc>
          <w:tcPr>
            <w:tcW w:w="1701" w:type="dxa"/>
            <w:vMerge w:val="restart"/>
          </w:tcPr>
          <w:p w14:paraId="1738C835">
            <w:pPr>
              <w:spacing w:after="0" w:line="240" w:lineRule="auto"/>
              <w:jc w:val="center"/>
              <w:rPr>
                <w:rFonts w:ascii="Arial" w:hAnsi="Arial" w:eastAsia="Times New Roman" w:cs="Arial"/>
                <w:sz w:val="18"/>
                <w:szCs w:val="18"/>
                <w:lang w:eastAsia="tr-TR"/>
              </w:rPr>
            </w:pPr>
            <w:r>
              <w:rPr>
                <w:rFonts w:ascii="Arial" w:hAnsi="Arial" w:eastAsia="Times New Roman" w:cs="Arial"/>
                <w:sz w:val="18"/>
                <w:szCs w:val="18"/>
                <w:lang w:eastAsia="tr-TR"/>
              </w:rPr>
              <w:t>--</w:t>
            </w:r>
          </w:p>
        </w:tc>
        <w:tc>
          <w:tcPr>
            <w:tcW w:w="1417" w:type="dxa"/>
            <w:vMerge w:val="restart"/>
            <w:vAlign w:val="center"/>
          </w:tcPr>
          <w:p w14:paraId="786562E8">
            <w:pPr>
              <w:spacing w:after="0" w:line="240" w:lineRule="auto"/>
              <w:rPr>
                <w:rFonts w:ascii="Arial" w:hAnsi="Arial" w:cs="Arial"/>
                <w:b/>
                <w:sz w:val="18"/>
                <w:szCs w:val="18"/>
              </w:rPr>
            </w:pPr>
            <w:r>
              <w:rPr>
                <w:rFonts w:ascii="Arial" w:hAnsi="Arial" w:cs="Arial"/>
                <w:b/>
                <w:sz w:val="18"/>
                <w:szCs w:val="18"/>
              </w:rPr>
              <w:t>E-Mail:</w:t>
            </w:r>
          </w:p>
        </w:tc>
        <w:tc>
          <w:tcPr>
            <w:tcW w:w="1701" w:type="dxa"/>
            <w:vMerge w:val="restart"/>
            <w:vAlign w:val="center"/>
          </w:tcPr>
          <w:p w14:paraId="64904D53">
            <w:pPr>
              <w:spacing w:after="0" w:line="240" w:lineRule="auto"/>
              <w:jc w:val="center"/>
              <w:rPr>
                <w:rFonts w:ascii="Arial" w:hAnsi="Arial" w:cs="Arial"/>
                <w:bCs/>
                <w:sz w:val="18"/>
                <w:szCs w:val="18"/>
              </w:rPr>
            </w:pPr>
          </w:p>
        </w:tc>
        <w:tc>
          <w:tcPr>
            <w:tcW w:w="1418" w:type="dxa"/>
            <w:vMerge w:val="continue"/>
          </w:tcPr>
          <w:p w14:paraId="0EF34A7D">
            <w:pPr>
              <w:spacing w:after="0" w:line="240" w:lineRule="auto"/>
              <w:jc w:val="center"/>
              <w:rPr>
                <w:b/>
              </w:rPr>
            </w:pPr>
          </w:p>
        </w:tc>
        <w:tc>
          <w:tcPr>
            <w:tcW w:w="1417" w:type="dxa"/>
            <w:vMerge w:val="continue"/>
          </w:tcPr>
          <w:p w14:paraId="740E3C05">
            <w:pPr>
              <w:spacing w:after="0" w:line="240" w:lineRule="auto"/>
              <w:jc w:val="center"/>
              <w:rPr>
                <w:b/>
              </w:rPr>
            </w:pPr>
          </w:p>
        </w:tc>
        <w:tc>
          <w:tcPr>
            <w:tcW w:w="1423" w:type="dxa"/>
            <w:vMerge w:val="continue"/>
          </w:tcPr>
          <w:p w14:paraId="267D4F04">
            <w:pPr>
              <w:spacing w:after="0" w:line="240" w:lineRule="auto"/>
              <w:jc w:val="center"/>
              <w:rPr>
                <w:b/>
              </w:rPr>
            </w:pPr>
          </w:p>
        </w:tc>
      </w:tr>
      <w:tr w14:paraId="208B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trPr>
        <w:tc>
          <w:tcPr>
            <w:tcW w:w="1980" w:type="dxa"/>
            <w:vMerge w:val="continue"/>
            <w:vAlign w:val="center"/>
          </w:tcPr>
          <w:p w14:paraId="166D4ED7">
            <w:pPr>
              <w:spacing w:after="0" w:line="240" w:lineRule="auto"/>
              <w:rPr>
                <w:rFonts w:ascii="Arial" w:hAnsi="Arial" w:cs="Arial"/>
                <w:b/>
                <w:sz w:val="18"/>
                <w:szCs w:val="18"/>
              </w:rPr>
            </w:pPr>
          </w:p>
        </w:tc>
        <w:tc>
          <w:tcPr>
            <w:tcW w:w="1701" w:type="dxa"/>
            <w:vMerge w:val="continue"/>
          </w:tcPr>
          <w:p w14:paraId="7A7652F6">
            <w:pPr>
              <w:spacing w:after="0" w:line="240" w:lineRule="auto"/>
              <w:jc w:val="center"/>
              <w:rPr>
                <w:rFonts w:ascii="Arial" w:hAnsi="Arial" w:eastAsia="Times New Roman" w:cs="Arial"/>
                <w:sz w:val="18"/>
                <w:szCs w:val="18"/>
                <w:lang w:eastAsia="tr-TR"/>
              </w:rPr>
            </w:pPr>
          </w:p>
        </w:tc>
        <w:tc>
          <w:tcPr>
            <w:tcW w:w="1417" w:type="dxa"/>
            <w:vMerge w:val="continue"/>
            <w:vAlign w:val="center"/>
          </w:tcPr>
          <w:p w14:paraId="2859A4CD">
            <w:pPr>
              <w:spacing w:after="0" w:line="240" w:lineRule="auto"/>
              <w:rPr>
                <w:rFonts w:ascii="Arial" w:hAnsi="Arial" w:cs="Arial"/>
                <w:b/>
                <w:sz w:val="18"/>
                <w:szCs w:val="18"/>
              </w:rPr>
            </w:pPr>
          </w:p>
        </w:tc>
        <w:tc>
          <w:tcPr>
            <w:tcW w:w="1701" w:type="dxa"/>
            <w:vMerge w:val="continue"/>
          </w:tcPr>
          <w:p w14:paraId="121402A6">
            <w:pPr>
              <w:spacing w:after="0" w:line="240" w:lineRule="auto"/>
              <w:jc w:val="center"/>
              <w:rPr>
                <w:rFonts w:ascii="Arial" w:hAnsi="Arial" w:cs="Arial"/>
                <w:b/>
                <w:sz w:val="18"/>
                <w:szCs w:val="18"/>
              </w:rPr>
            </w:pPr>
          </w:p>
        </w:tc>
        <w:tc>
          <w:tcPr>
            <w:tcW w:w="1418" w:type="dxa"/>
            <w:vMerge w:val="continue"/>
          </w:tcPr>
          <w:p w14:paraId="24B65A4C">
            <w:pPr>
              <w:spacing w:after="0" w:line="240" w:lineRule="auto"/>
              <w:jc w:val="center"/>
              <w:rPr>
                <w:b/>
              </w:rPr>
            </w:pPr>
          </w:p>
        </w:tc>
        <w:tc>
          <w:tcPr>
            <w:tcW w:w="1417" w:type="dxa"/>
          </w:tcPr>
          <w:p w14:paraId="25D6FBDF">
            <w:pPr>
              <w:spacing w:after="0" w:line="240" w:lineRule="auto"/>
              <w:rPr>
                <w:b/>
              </w:rPr>
            </w:pPr>
            <w:r>
              <w:rPr>
                <w:rFonts w:ascii="Arial" w:hAnsi="Arial" w:cs="Arial"/>
                <w:sz w:val="14"/>
                <w:szCs w:val="18"/>
              </w:rPr>
              <w:t>Belge No: 328</w:t>
            </w:r>
          </w:p>
        </w:tc>
        <w:tc>
          <w:tcPr>
            <w:tcW w:w="1423" w:type="dxa"/>
          </w:tcPr>
          <w:p w14:paraId="02B2CDBC">
            <w:pPr>
              <w:spacing w:after="0" w:line="240" w:lineRule="auto"/>
              <w:rPr>
                <w:b/>
              </w:rPr>
            </w:pPr>
            <w:r>
              <w:rPr>
                <w:rFonts w:ascii="Arial" w:hAnsi="Arial" w:cs="Arial"/>
                <w:sz w:val="14"/>
                <w:szCs w:val="18"/>
              </w:rPr>
              <w:t xml:space="preserve">Belge No: </w:t>
            </w:r>
            <w:r>
              <w:rPr>
                <w:rFonts w:ascii="Arial" w:hAnsi="Arial" w:cs="Arial"/>
                <w:sz w:val="14"/>
                <w:szCs w:val="18"/>
              </w:rPr>
              <w:br w:type="textWrapping"/>
            </w:r>
            <w:r>
              <w:rPr>
                <w:rFonts w:ascii="Arial" w:hAnsi="Arial" w:cs="Arial"/>
                <w:sz w:val="14"/>
                <w:szCs w:val="18"/>
              </w:rPr>
              <w:t>Y-34/379/2026</w:t>
            </w:r>
          </w:p>
        </w:tc>
      </w:tr>
    </w:tbl>
    <w:p w14:paraId="53DBDB28">
      <w:pPr>
        <w:tabs>
          <w:tab w:val="left" w:pos="5415"/>
        </w:tabs>
        <w:jc w:val="both"/>
        <w:rPr>
          <w:rFonts w:ascii="Arial" w:hAnsi="Arial" w:cs="Arial"/>
          <w:sz w:val="18"/>
        </w:rPr>
      </w:pPr>
      <w:r>
        <w:rPr>
          <w:rFonts w:ascii="Arial" w:hAnsi="Arial" w:cs="Arial"/>
          <w:sz w:val="18"/>
        </w:rPr>
        <w:t xml:space="preserve"> </w:t>
      </w:r>
      <w:r>
        <w:rPr>
          <w:rFonts w:ascii="Arial" w:hAnsi="Arial" w:cs="Arial"/>
          <w:sz w:val="18"/>
        </w:rPr>
        <w:tab/>
      </w:r>
    </w:p>
    <w:p w14:paraId="0EE486DF">
      <w:pPr>
        <w:tabs>
          <w:tab w:val="left" w:pos="2985"/>
          <w:tab w:val="center" w:pos="4873"/>
        </w:tabs>
        <w:jc w:val="both"/>
        <w:rPr>
          <w:rFonts w:ascii="Arial" w:hAnsi="Arial" w:cs="Arial"/>
          <w:sz w:val="18"/>
        </w:rPr>
      </w:pPr>
      <w:r>
        <w:rPr>
          <w:rFonts w:ascii="Arial" w:hAnsi="Arial" w:cs="Arial"/>
          <w:sz w:val="18"/>
        </w:rPr>
        <w:t xml:space="preserve">              </w:t>
      </w:r>
      <w:r>
        <w:rPr>
          <w:rFonts w:ascii="Arial" w:hAnsi="Arial" w:cs="Arial"/>
          <w:sz w:val="18"/>
        </w:rPr>
        <w:tab/>
      </w:r>
      <w:r>
        <w:rPr>
          <w:rFonts w:ascii="Arial" w:hAnsi="Arial" w:cs="Arial"/>
          <w:sz w:val="18"/>
        </w:rPr>
        <w:tab/>
      </w:r>
    </w:p>
    <w:p w14:paraId="0F99AB34">
      <w:pPr>
        <w:jc w:val="both"/>
        <w:rPr>
          <w:rFonts w:ascii="Arial" w:hAnsi="Arial" w:cs="Arial"/>
          <w:sz w:val="18"/>
        </w:rPr>
      </w:pPr>
      <w:r>
        <w:rPr>
          <w:rFonts w:ascii="Arial" w:hAnsi="Arial" w:cs="Arial"/>
          <w:sz w:val="18"/>
        </w:rPr>
        <w:t>‘Sayın Yetkili,</w:t>
      </w:r>
    </w:p>
    <w:p w14:paraId="289275C0">
      <w:pPr>
        <w:jc w:val="both"/>
        <w:rPr>
          <w:rFonts w:cs="Arial"/>
          <w:sz w:val="20"/>
        </w:rPr>
      </w:pPr>
      <w:r>
        <w:rPr>
          <w:rFonts w:ascii="Arial" w:hAnsi="Arial" w:cs="Arial"/>
          <w:sz w:val="18"/>
        </w:rPr>
        <w:t xml:space="preserve">                 “</w:t>
      </w:r>
      <w:r>
        <w:rPr>
          <w:rFonts w:hint="default" w:ascii="Arial" w:hAnsi="Arial"/>
          <w:sz w:val="18"/>
        </w:rPr>
        <w:t xml:space="preserve"> {{ adres }}</w:t>
      </w:r>
      <w:r>
        <w:rPr>
          <w:rFonts w:cs="Arial"/>
          <w:sz w:val="20"/>
        </w:rPr>
        <w:t>l</w:t>
      </w:r>
      <w:r>
        <w:rPr>
          <w:rFonts w:ascii="Arial" w:hAnsi="Arial" w:cs="Arial"/>
          <w:sz w:val="18"/>
        </w:rPr>
        <w:t xml:space="preserve">” adresinde için yapılacak olan keşif yerinde numune alımı, asbest analizi, asbest envanter rapor hizmeti için sipariş bilgileri aşağıda bulunmaktadır. </w:t>
      </w:r>
    </w:p>
    <w:p w14:paraId="38572B6A">
      <w:pPr>
        <w:ind w:firstLine="708"/>
        <w:jc w:val="both"/>
        <w:rPr>
          <w:rFonts w:ascii="Arial" w:hAnsi="Arial" w:cs="Arial"/>
          <w:sz w:val="18"/>
        </w:rPr>
      </w:pPr>
      <w:bookmarkStart w:id="0" w:name="_GoBack"/>
      <w:bookmarkEnd w:id="0"/>
      <w:r>
        <w:rPr>
          <w:rFonts w:ascii="Arial" w:hAnsi="Arial" w:cs="Arial"/>
          <w:sz w:val="18"/>
        </w:rPr>
        <w:t xml:space="preserve">   Teklifimizin uygun bulunacağını umar, iyi çalışmalar dileriz.</w:t>
      </w:r>
    </w:p>
    <w:p w14:paraId="4FFD761A">
      <w:pPr>
        <w:rPr>
          <w:rFonts w:ascii="Arial" w:hAnsi="Arial" w:cs="Arial"/>
          <w:b/>
          <w:sz w:val="18"/>
          <w:szCs w:val="18"/>
        </w:rPr>
      </w:pPr>
      <w:r>
        <w:rPr>
          <w:rFonts w:ascii="Arial" w:hAnsi="Arial" w:cs="Arial"/>
          <w:b/>
          <w:sz w:val="18"/>
          <w:szCs w:val="18"/>
        </w:rPr>
        <w:t>A-</w:t>
      </w:r>
      <w:r>
        <w:rPr>
          <w:rFonts w:ascii="Arial" w:hAnsi="Arial" w:cs="Arial"/>
          <w:b/>
          <w:sz w:val="18"/>
          <w:szCs w:val="18"/>
        </w:rPr>
        <w:tab/>
      </w:r>
      <w:r>
        <w:rPr>
          <w:rFonts w:ascii="Arial" w:hAnsi="Arial" w:cs="Arial"/>
          <w:b/>
          <w:sz w:val="18"/>
          <w:szCs w:val="18"/>
        </w:rPr>
        <w:t xml:space="preserve">Ölçüm Metotları/Standartları ve Ücretlendirme   </w:t>
      </w:r>
    </w:p>
    <w:tbl>
      <w:tblPr>
        <w:tblStyle w:val="10"/>
        <w:tblW w:w="104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
        <w:gridCol w:w="2403"/>
        <w:gridCol w:w="2409"/>
        <w:gridCol w:w="1838"/>
        <w:gridCol w:w="782"/>
        <w:gridCol w:w="2523"/>
      </w:tblGrid>
      <w:tr w14:paraId="0102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517" w:type="dxa"/>
            <w:vAlign w:val="center"/>
          </w:tcPr>
          <w:p w14:paraId="47835D33">
            <w:pPr>
              <w:spacing w:after="0" w:line="240" w:lineRule="auto"/>
              <w:rPr>
                <w:rFonts w:ascii="Arial" w:hAnsi="Arial" w:cs="Arial"/>
                <w:b/>
                <w:sz w:val="18"/>
                <w:szCs w:val="18"/>
              </w:rPr>
            </w:pPr>
            <w:r>
              <w:rPr>
                <w:rFonts w:ascii="Arial" w:hAnsi="Arial" w:cs="Arial"/>
                <w:b/>
                <w:sz w:val="18"/>
                <w:szCs w:val="18"/>
              </w:rPr>
              <w:t>S.N</w:t>
            </w:r>
          </w:p>
        </w:tc>
        <w:tc>
          <w:tcPr>
            <w:tcW w:w="2403" w:type="dxa"/>
            <w:vAlign w:val="center"/>
          </w:tcPr>
          <w:p w14:paraId="159B4EB6">
            <w:pPr>
              <w:spacing w:after="0" w:line="240" w:lineRule="auto"/>
              <w:rPr>
                <w:rFonts w:ascii="Arial" w:hAnsi="Arial" w:cs="Arial"/>
                <w:b/>
                <w:sz w:val="18"/>
                <w:szCs w:val="18"/>
              </w:rPr>
            </w:pPr>
            <w:r>
              <w:rPr>
                <w:rFonts w:ascii="Arial" w:hAnsi="Arial" w:cs="Arial"/>
                <w:b/>
                <w:sz w:val="18"/>
                <w:szCs w:val="18"/>
              </w:rPr>
              <w:t>İSTENİLEN HİZMETLER</w:t>
            </w:r>
          </w:p>
        </w:tc>
        <w:tc>
          <w:tcPr>
            <w:tcW w:w="2409" w:type="dxa"/>
            <w:vAlign w:val="center"/>
          </w:tcPr>
          <w:p w14:paraId="02276627">
            <w:pPr>
              <w:spacing w:after="0" w:line="240" w:lineRule="auto"/>
              <w:rPr>
                <w:rFonts w:ascii="Arial" w:hAnsi="Arial" w:cs="Arial"/>
                <w:b/>
                <w:sz w:val="18"/>
                <w:szCs w:val="18"/>
              </w:rPr>
            </w:pPr>
            <w:r>
              <w:rPr>
                <w:rFonts w:ascii="Arial" w:hAnsi="Arial" w:cs="Arial"/>
                <w:b/>
                <w:sz w:val="18"/>
                <w:szCs w:val="18"/>
              </w:rPr>
              <w:t>KULLANILACAK METOD</w:t>
            </w:r>
          </w:p>
        </w:tc>
        <w:tc>
          <w:tcPr>
            <w:tcW w:w="1838" w:type="dxa"/>
            <w:vAlign w:val="center"/>
          </w:tcPr>
          <w:p w14:paraId="3C8684F7">
            <w:pPr>
              <w:spacing w:after="0" w:line="240" w:lineRule="auto"/>
              <w:rPr>
                <w:rFonts w:ascii="Arial" w:hAnsi="Arial" w:cs="Arial"/>
                <w:b/>
                <w:sz w:val="18"/>
                <w:szCs w:val="18"/>
              </w:rPr>
            </w:pPr>
            <w:r>
              <w:rPr>
                <w:rFonts w:ascii="Arial" w:hAnsi="Arial" w:cs="Arial"/>
                <w:b/>
                <w:sz w:val="18"/>
                <w:szCs w:val="18"/>
              </w:rPr>
              <w:t>BİRİM FİYAT(TL)</w:t>
            </w:r>
          </w:p>
        </w:tc>
        <w:tc>
          <w:tcPr>
            <w:tcW w:w="782" w:type="dxa"/>
            <w:vAlign w:val="center"/>
          </w:tcPr>
          <w:p w14:paraId="0FA7C450">
            <w:pPr>
              <w:spacing w:after="0" w:line="240" w:lineRule="auto"/>
              <w:rPr>
                <w:rFonts w:ascii="Arial" w:hAnsi="Arial" w:cs="Arial"/>
                <w:b/>
                <w:sz w:val="18"/>
                <w:szCs w:val="18"/>
              </w:rPr>
            </w:pPr>
            <w:r>
              <w:rPr>
                <w:rFonts w:ascii="Arial" w:hAnsi="Arial" w:cs="Arial"/>
                <w:b/>
                <w:sz w:val="18"/>
                <w:szCs w:val="18"/>
              </w:rPr>
              <w:t>ADET</w:t>
            </w:r>
          </w:p>
        </w:tc>
        <w:tc>
          <w:tcPr>
            <w:tcW w:w="2523" w:type="dxa"/>
            <w:vAlign w:val="center"/>
          </w:tcPr>
          <w:p w14:paraId="3222ED9B">
            <w:pPr>
              <w:spacing w:after="0" w:line="240" w:lineRule="auto"/>
              <w:rPr>
                <w:rFonts w:ascii="Arial" w:hAnsi="Arial" w:cs="Arial"/>
                <w:b/>
                <w:sz w:val="18"/>
                <w:szCs w:val="18"/>
              </w:rPr>
            </w:pPr>
            <w:r>
              <w:rPr>
                <w:rFonts w:ascii="Arial" w:hAnsi="Arial" w:cs="Arial"/>
                <w:b/>
                <w:sz w:val="18"/>
                <w:szCs w:val="18"/>
              </w:rPr>
              <w:t>TOPLAM TUTAR (TL)</w:t>
            </w:r>
          </w:p>
        </w:tc>
      </w:tr>
      <w:tr w14:paraId="41D9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517" w:type="dxa"/>
            <w:vAlign w:val="center"/>
          </w:tcPr>
          <w:p w14:paraId="4A31EBFF">
            <w:pPr>
              <w:tabs>
                <w:tab w:val="left" w:pos="3650"/>
              </w:tabs>
              <w:spacing w:after="0" w:line="240" w:lineRule="auto"/>
              <w:rPr>
                <w:rFonts w:ascii="Arial" w:hAnsi="Arial" w:cs="Arial"/>
                <w:b/>
                <w:sz w:val="18"/>
                <w:szCs w:val="18"/>
              </w:rPr>
            </w:pPr>
            <w:r>
              <w:rPr>
                <w:rFonts w:ascii="Arial" w:hAnsi="Arial" w:cs="Arial"/>
                <w:b/>
                <w:sz w:val="18"/>
                <w:szCs w:val="18"/>
              </w:rPr>
              <w:t>1</w:t>
            </w:r>
          </w:p>
        </w:tc>
        <w:tc>
          <w:tcPr>
            <w:tcW w:w="2403" w:type="dxa"/>
          </w:tcPr>
          <w:p w14:paraId="78376AD4">
            <w:pPr>
              <w:spacing w:after="0" w:line="240" w:lineRule="auto"/>
            </w:pPr>
            <w:r>
              <w:rPr>
                <w:rStyle w:val="17"/>
              </w:rPr>
              <w:t>KATI NUMUNE ASBEST TÜR TAYİNİ</w:t>
            </w:r>
          </w:p>
          <w:p w14:paraId="010A407B">
            <w:pPr>
              <w:spacing w:after="0" w:line="240" w:lineRule="auto"/>
              <w:rPr>
                <w:rFonts w:ascii="Arial" w:hAnsi="Arial" w:cs="Arial"/>
                <w:sz w:val="18"/>
                <w:szCs w:val="18"/>
              </w:rPr>
            </w:pPr>
          </w:p>
        </w:tc>
        <w:tc>
          <w:tcPr>
            <w:tcW w:w="2409" w:type="dxa"/>
          </w:tcPr>
          <w:p w14:paraId="01584CBC">
            <w:pPr>
              <w:tabs>
                <w:tab w:val="left" w:pos="480"/>
              </w:tabs>
              <w:spacing w:after="0" w:line="240" w:lineRule="auto"/>
              <w:rPr>
                <w:rFonts w:ascii="Arial" w:hAnsi="Arial" w:cs="Arial"/>
                <w:sz w:val="18"/>
                <w:szCs w:val="18"/>
              </w:rPr>
            </w:pPr>
          </w:p>
          <w:p w14:paraId="3384758E">
            <w:pPr>
              <w:tabs>
                <w:tab w:val="left" w:pos="480"/>
              </w:tabs>
              <w:spacing w:after="0" w:line="240" w:lineRule="auto"/>
              <w:rPr>
                <w:rFonts w:ascii="Arial" w:hAnsi="Arial" w:cs="Arial"/>
                <w:sz w:val="18"/>
                <w:szCs w:val="18"/>
              </w:rPr>
            </w:pPr>
            <w:r>
              <w:rPr>
                <w:rFonts w:ascii="Arial" w:hAnsi="Arial" w:cs="Arial"/>
                <w:sz w:val="18"/>
                <w:szCs w:val="18"/>
              </w:rPr>
              <w:t>HSG 248 A2 / NIOSH 9002</w:t>
            </w:r>
          </w:p>
        </w:tc>
        <w:tc>
          <w:tcPr>
            <w:tcW w:w="1838" w:type="dxa"/>
            <w:vAlign w:val="center"/>
          </w:tcPr>
          <w:p w14:paraId="7B9EA2D5">
            <w:pPr>
              <w:spacing w:after="0" w:line="240" w:lineRule="auto"/>
              <w:jc w:val="center"/>
            </w:pPr>
          </w:p>
          <w:p w14:paraId="0FD9B98F">
            <w:pPr>
              <w:spacing w:after="0" w:line="240" w:lineRule="auto"/>
              <w:jc w:val="center"/>
              <w:rPr>
                <w:rFonts w:ascii="Arial" w:hAnsi="Arial" w:cs="Arial"/>
                <w:sz w:val="18"/>
                <w:szCs w:val="18"/>
              </w:rPr>
            </w:pPr>
            <w:r>
              <w:rPr>
                <w:rFonts w:ascii="Arial" w:hAnsi="Arial" w:cs="Arial"/>
                <w:sz w:val="18"/>
                <w:szCs w:val="18"/>
              </w:rPr>
              <w:t>2.500,00</w:t>
            </w:r>
          </w:p>
        </w:tc>
        <w:tc>
          <w:tcPr>
            <w:tcW w:w="782" w:type="dxa"/>
            <w:vAlign w:val="center"/>
          </w:tcPr>
          <w:p w14:paraId="2EB05BAC">
            <w:pPr>
              <w:spacing w:after="0" w:line="240" w:lineRule="auto"/>
              <w:jc w:val="center"/>
              <w:rPr>
                <w:rFonts w:ascii="Arial" w:hAnsi="Arial" w:cs="Arial"/>
                <w:sz w:val="18"/>
                <w:szCs w:val="18"/>
              </w:rPr>
            </w:pPr>
            <w:r>
              <w:rPr>
                <w:rFonts w:ascii="Arial" w:hAnsi="Arial" w:cs="Arial"/>
                <w:sz w:val="18"/>
                <w:szCs w:val="18"/>
              </w:rPr>
              <w:t>1</w:t>
            </w:r>
          </w:p>
        </w:tc>
        <w:tc>
          <w:tcPr>
            <w:tcW w:w="2523" w:type="dxa"/>
            <w:vAlign w:val="center"/>
          </w:tcPr>
          <w:p w14:paraId="3EB99C38">
            <w:pPr>
              <w:spacing w:after="0" w:line="240" w:lineRule="auto"/>
              <w:jc w:val="center"/>
            </w:pPr>
          </w:p>
          <w:p w14:paraId="71AAD5CD">
            <w:pPr>
              <w:spacing w:after="0" w:line="240" w:lineRule="auto"/>
              <w:jc w:val="center"/>
              <w:rPr>
                <w:rFonts w:ascii="Arial" w:hAnsi="Arial" w:cs="Arial"/>
                <w:sz w:val="18"/>
                <w:szCs w:val="18"/>
              </w:rPr>
            </w:pPr>
            <w:r>
              <w:rPr>
                <w:rFonts w:ascii="Arial" w:hAnsi="Arial" w:cs="Arial"/>
                <w:sz w:val="18"/>
                <w:szCs w:val="18"/>
              </w:rPr>
              <w:t>2.500,00</w:t>
            </w:r>
          </w:p>
        </w:tc>
      </w:tr>
    </w:tbl>
    <w:p w14:paraId="0F1F8EFA">
      <w:pPr>
        <w:pStyle w:val="5"/>
        <w:spacing w:after="120"/>
        <w:jc w:val="both"/>
        <w:rPr>
          <w:rFonts w:cs="Arial"/>
          <w:b/>
          <w:sz w:val="18"/>
          <w:szCs w:val="18"/>
        </w:rPr>
      </w:pPr>
    </w:p>
    <w:p w14:paraId="6F40FE07">
      <w:pPr>
        <w:pStyle w:val="5"/>
        <w:spacing w:after="120"/>
        <w:jc w:val="both"/>
        <w:rPr>
          <w:rFonts w:cs="Arial"/>
          <w:sz w:val="18"/>
          <w:szCs w:val="18"/>
        </w:rPr>
      </w:pPr>
      <w:r>
        <w:rPr>
          <w:rFonts w:cs="Arial"/>
          <w:b/>
          <w:sz w:val="18"/>
          <w:szCs w:val="18"/>
        </w:rPr>
        <w:t xml:space="preserve">B- </w:t>
      </w:r>
      <w:r>
        <w:rPr>
          <w:rFonts w:cs="Arial"/>
          <w:sz w:val="18"/>
          <w:szCs w:val="18"/>
        </w:rPr>
        <w:tab/>
      </w:r>
      <w:r>
        <w:rPr>
          <w:rFonts w:cs="Arial"/>
          <w:b/>
          <w:sz w:val="18"/>
          <w:szCs w:val="18"/>
        </w:rPr>
        <w:t>Ödeme Şartları</w:t>
      </w:r>
      <w:r>
        <w:rPr>
          <w:rFonts w:cs="Arial"/>
          <w:sz w:val="18"/>
          <w:szCs w:val="18"/>
        </w:rPr>
        <w:t xml:space="preserve"> </w:t>
      </w:r>
    </w:p>
    <w:p w14:paraId="02BFF4DA">
      <w:pPr>
        <w:pStyle w:val="5"/>
        <w:numPr>
          <w:ilvl w:val="0"/>
          <w:numId w:val="1"/>
        </w:numPr>
        <w:tabs>
          <w:tab w:val="left" w:pos="0"/>
        </w:tabs>
        <w:spacing w:after="120"/>
        <w:ind w:left="0" w:firstLine="0"/>
        <w:jc w:val="both"/>
        <w:rPr>
          <w:rFonts w:cs="Arial"/>
          <w:sz w:val="18"/>
          <w:szCs w:val="18"/>
        </w:rPr>
      </w:pPr>
      <w:r>
        <w:rPr>
          <w:rFonts w:cs="Arial"/>
          <w:sz w:val="18"/>
          <w:szCs w:val="18"/>
        </w:rPr>
        <w:t>Fiyatlarımıza KDV dahil değildir.</w:t>
      </w:r>
    </w:p>
    <w:p w14:paraId="2B5E4689">
      <w:pPr>
        <w:pStyle w:val="5"/>
        <w:numPr>
          <w:ilvl w:val="0"/>
          <w:numId w:val="1"/>
        </w:numPr>
        <w:tabs>
          <w:tab w:val="left" w:pos="0"/>
        </w:tabs>
        <w:spacing w:after="120"/>
        <w:ind w:left="0" w:firstLine="0"/>
        <w:jc w:val="both"/>
        <w:rPr>
          <w:rFonts w:cs="Arial"/>
          <w:sz w:val="18"/>
          <w:szCs w:val="18"/>
        </w:rPr>
      </w:pPr>
      <w:r>
        <w:rPr>
          <w:rFonts w:cs="Arial"/>
          <w:sz w:val="18"/>
          <w:szCs w:val="18"/>
        </w:rPr>
        <w:t>Asya Asbest İş Hijyen Laboratuvarı tarafından ölçüm, test ve analiz hizmet bedeli olarak kesilen faturalar, fatura tarihinden itibaren 10 (on) gün içinde nakden veya banka yoluyla müşteri tarafından ödenir. Belirtilen süre içerisinde ödenmeyen faturalara %5 gecikme faizi uygulanır. Fatura ödemesi yapılmadan rapor teslimi yapılmamaktadır.</w:t>
      </w:r>
    </w:p>
    <w:p w14:paraId="5AC4B023">
      <w:pPr>
        <w:pStyle w:val="5"/>
        <w:numPr>
          <w:ilvl w:val="0"/>
          <w:numId w:val="1"/>
        </w:numPr>
        <w:tabs>
          <w:tab w:val="left" w:pos="0"/>
        </w:tabs>
        <w:spacing w:after="120"/>
        <w:ind w:left="0" w:firstLine="0"/>
        <w:jc w:val="both"/>
        <w:rPr>
          <w:rFonts w:cs="Arial"/>
          <w:sz w:val="18"/>
          <w:szCs w:val="18"/>
        </w:rPr>
      </w:pPr>
      <w:r>
        <w:rPr>
          <w:rFonts w:cs="Arial"/>
          <w:sz w:val="18"/>
          <w:szCs w:val="18"/>
        </w:rPr>
        <w:t>Bu sipariş formu onaylandıktan sonra sözleşme yerine geçer.</w:t>
      </w:r>
    </w:p>
    <w:p w14:paraId="46A61BA9">
      <w:pPr>
        <w:numPr>
          <w:ilvl w:val="0"/>
          <w:numId w:val="1"/>
        </w:numPr>
        <w:spacing w:after="0" w:line="240" w:lineRule="auto"/>
        <w:ind w:left="0" w:firstLine="0"/>
        <w:jc w:val="both"/>
        <w:rPr>
          <w:rFonts w:ascii="Arial" w:hAnsi="Arial" w:cs="Arial"/>
          <w:sz w:val="18"/>
          <w:szCs w:val="18"/>
        </w:rPr>
      </w:pPr>
      <w:r>
        <w:rPr>
          <w:rFonts w:ascii="Arial" w:hAnsi="Arial" w:cs="Arial"/>
          <w:sz w:val="18"/>
          <w:szCs w:val="18"/>
        </w:rPr>
        <w:t>İş bu sözleşmeden kaynaklanan ihtilafların çözümünde İstanbul Anadolu Mahkemeleri ve İcra Daireleri yetkilidir.</w:t>
      </w:r>
    </w:p>
    <w:p w14:paraId="6D800047">
      <w:pPr>
        <w:spacing w:line="240" w:lineRule="auto"/>
        <w:jc w:val="both"/>
        <w:rPr>
          <w:rFonts w:ascii="Arial" w:hAnsi="Arial" w:cs="Arial"/>
          <w:i/>
          <w:sz w:val="18"/>
          <w:szCs w:val="18"/>
        </w:rPr>
      </w:pPr>
      <w:r>
        <w:rPr>
          <w:rFonts w:ascii="Arial" w:hAnsi="Arial" w:cs="Arial"/>
          <w:i/>
          <w:sz w:val="18"/>
          <w:szCs w:val="18"/>
        </w:rPr>
        <w:t>Teklifimiz 30 gün geçerlidir.</w:t>
      </w:r>
    </w:p>
    <w:p w14:paraId="305E778B">
      <w:pPr>
        <w:pStyle w:val="5"/>
        <w:numPr>
          <w:ilvl w:val="0"/>
          <w:numId w:val="1"/>
        </w:numPr>
        <w:spacing w:after="120"/>
        <w:jc w:val="both"/>
        <w:rPr>
          <w:rFonts w:cs="Arial"/>
          <w:sz w:val="18"/>
          <w:szCs w:val="18"/>
        </w:rPr>
      </w:pPr>
      <w:r>
        <w:rPr>
          <w:rFonts w:cs="Arial"/>
          <w:sz w:val="18"/>
          <w:szCs w:val="18"/>
        </w:rPr>
        <w:t>Ölçüm, Test ve Analiz faaliyetleri esnasında, müşteri ile mutabakat sağlanarak ölçüm adetlerinin (kişi sayısı, nokta sayısı, tüp adedi vb..) değişmesi halinde birim fiyat üzerinden müşteri firmaya fatura edilecektir. Ölçüm planlandığı gün ortam koşullarının ölçüm almaya uygun olmaması halinde ölçüm ileri bir tarihe ertelenebilir. Cihazın ölçüm almasına engel ortam koşullarının olması ya da cihazın metot gerekliliklerini karşılayamayacak ortam koşullarına sahip olması durumunda iş ertelenebilir veya iptal edilebilir.</w:t>
      </w:r>
    </w:p>
    <w:p w14:paraId="57161A39">
      <w:pPr>
        <w:pStyle w:val="5"/>
        <w:spacing w:after="120"/>
        <w:jc w:val="both"/>
        <w:rPr>
          <w:rFonts w:cs="Arial"/>
          <w:b/>
          <w:bCs/>
          <w:sz w:val="18"/>
          <w:szCs w:val="18"/>
        </w:rPr>
      </w:pPr>
      <w:r>
        <w:rPr>
          <w:rFonts w:cs="Arial"/>
          <w:b/>
          <w:bCs/>
          <w:sz w:val="18"/>
          <w:szCs w:val="18"/>
        </w:rPr>
        <w:t xml:space="preserve">6.    </w:t>
      </w:r>
      <w:r>
        <w:rPr>
          <w:rFonts w:cs="Arial"/>
          <w:sz w:val="18"/>
          <w:szCs w:val="18"/>
        </w:rPr>
        <w:t>TS EN ISO IEC 17025 Deney ve kalibrasyon laboratuvarlarının yetkinliği için genel gereklilikler standardına göre gerekli hallerde müşteriye ait bilgiler (müşteri/ firma unvanı, adresi, iletişim bilgileri vb.) belediye, Türkak, İsgüm, ÇSGB kamu kurum ve kuruluşları ile paylaşılır.</w:t>
      </w:r>
    </w:p>
    <w:p w14:paraId="21B85A70">
      <w:pPr>
        <w:spacing w:line="240" w:lineRule="auto"/>
        <w:jc w:val="both"/>
        <w:rPr>
          <w:rFonts w:ascii="Arial" w:hAnsi="Arial" w:cs="Arial"/>
          <w:sz w:val="18"/>
          <w:szCs w:val="18"/>
        </w:rPr>
      </w:pPr>
      <w:r>
        <w:rPr>
          <w:rFonts w:ascii="Arial" w:hAnsi="Arial" w:cs="Arial"/>
          <w:b/>
          <w:sz w:val="18"/>
          <w:szCs w:val="18"/>
        </w:rPr>
        <w:t xml:space="preserve">7. </w:t>
      </w:r>
      <w:r>
        <w:rPr>
          <w:rFonts w:ascii="Arial" w:hAnsi="Arial" w:cs="Arial"/>
          <w:b/>
          <w:sz w:val="18"/>
          <w:szCs w:val="18"/>
        </w:rPr>
        <w:tab/>
      </w:r>
      <w:r>
        <w:rPr>
          <w:rFonts w:ascii="Arial" w:hAnsi="Arial" w:cs="Arial"/>
          <w:sz w:val="18"/>
          <w:szCs w:val="18"/>
        </w:rPr>
        <w:t xml:space="preserve"> İSGUM 06/07/2022 tarihinde yayınlanan ve 1/7/2022 tarihinde yürürlüğe giren Binaların Yıkılması Hakkında Yönetmeliğin 16. maddesinin birinci fıkrası gereği 14.11.2018 tarihli ve DIŞARDAN GELEN BULK NUMULERİN ANALİZİ başlıklı duyuru yürürlükten kaldırıldığından dışarıdan numune kabul edilmeyecektir. 05.07.2022 tarihinde İSGÜM tarafından yayınlanan yayınlanan duyuruya istinaden yetkisiz laboratuvarların yapmış oldukları ölçüm, test ve analizler geçersizdir.</w:t>
      </w:r>
    </w:p>
    <w:p w14:paraId="719F8443">
      <w:pPr>
        <w:spacing w:line="240" w:lineRule="auto"/>
        <w:jc w:val="both"/>
        <w:rPr>
          <w:rFonts w:ascii="Arial" w:hAnsi="Arial" w:cs="Arial"/>
          <w:sz w:val="18"/>
          <w:szCs w:val="18"/>
        </w:rPr>
      </w:pPr>
      <w:r>
        <w:rPr>
          <w:rFonts w:ascii="Arial" w:hAnsi="Arial" w:cs="Arial"/>
          <w:b/>
          <w:sz w:val="18"/>
          <w:szCs w:val="18"/>
        </w:rPr>
        <w:t>8</w:t>
      </w:r>
      <w:r>
        <w:rPr>
          <w:rFonts w:ascii="Arial" w:hAnsi="Arial" w:cs="Arial"/>
          <w:sz w:val="18"/>
          <w:szCs w:val="18"/>
        </w:rPr>
        <w:t xml:space="preserve">. </w:t>
      </w:r>
      <w:r>
        <w:rPr>
          <w:rFonts w:ascii="Arial" w:hAnsi="Arial" w:cs="Arial"/>
          <w:sz w:val="18"/>
          <w:szCs w:val="18"/>
        </w:rPr>
        <w:tab/>
      </w:r>
      <w:r>
        <w:rPr>
          <w:rFonts w:ascii="Arial" w:hAnsi="Arial" w:cs="Arial"/>
          <w:i/>
          <w:sz w:val="18"/>
          <w:szCs w:val="18"/>
        </w:rPr>
        <w:t>Ölçüm, Test ve Analiz Hizmetleri Sipariş Formu’nun</w:t>
      </w:r>
      <w:r>
        <w:rPr>
          <w:rFonts w:ascii="Arial" w:hAnsi="Arial" w:cs="Arial"/>
          <w:b/>
          <w:i/>
          <w:sz w:val="18"/>
          <w:szCs w:val="18"/>
        </w:rPr>
        <w:t xml:space="preserve"> onaylanması</w:t>
      </w:r>
      <w:r>
        <w:rPr>
          <w:rFonts w:ascii="Arial" w:hAnsi="Arial" w:cs="Arial"/>
          <w:sz w:val="18"/>
          <w:szCs w:val="18"/>
        </w:rPr>
        <w:t xml:space="preserve"> halinde web sitemizde- asyadanismanlik.com’da - yayında olan </w:t>
      </w:r>
      <w:r>
        <w:rPr>
          <w:rFonts w:ascii="Arial" w:hAnsi="Arial" w:cs="Arial"/>
          <w:i/>
          <w:sz w:val="18"/>
          <w:szCs w:val="18"/>
        </w:rPr>
        <w:t xml:space="preserve">Asbest Analiz Teknik Şartnamesi </w:t>
      </w:r>
      <w:r>
        <w:rPr>
          <w:rFonts w:ascii="Arial" w:hAnsi="Arial" w:cs="Arial"/>
          <w:sz w:val="18"/>
          <w:szCs w:val="18"/>
        </w:rPr>
        <w:t>kabul edilmiş varsayılır.</w:t>
      </w:r>
    </w:p>
    <w:p w14:paraId="774841F1">
      <w:pPr>
        <w:spacing w:line="240" w:lineRule="auto"/>
        <w:jc w:val="both"/>
        <w:rPr>
          <w:rFonts w:ascii="Arial" w:hAnsi="Arial" w:cs="Arial"/>
          <w:sz w:val="18"/>
          <w:szCs w:val="18"/>
        </w:rPr>
      </w:pPr>
      <w:r>
        <w:rPr>
          <w:rFonts w:ascii="Arial" w:hAnsi="Arial" w:cs="Arial"/>
          <w:b/>
          <w:sz w:val="18"/>
          <w:szCs w:val="18"/>
        </w:rPr>
        <w:t>9.</w:t>
      </w:r>
      <w:r>
        <w:rPr>
          <w:rFonts w:ascii="Arial" w:hAnsi="Arial" w:cs="Arial"/>
          <w:sz w:val="18"/>
          <w:szCs w:val="18"/>
        </w:rPr>
        <w:t xml:space="preserve"> </w:t>
      </w:r>
      <w:r>
        <w:rPr>
          <w:rFonts w:ascii="Arial" w:hAnsi="Arial" w:cs="Arial"/>
          <w:sz w:val="18"/>
          <w:szCs w:val="18"/>
        </w:rPr>
        <w:tab/>
      </w:r>
      <w:r>
        <w:rPr>
          <w:rFonts w:ascii="Arial" w:hAnsi="Arial" w:cs="Arial"/>
          <w:sz w:val="18"/>
          <w:szCs w:val="18"/>
        </w:rPr>
        <w:t>Firmamızda taşeron kullanımı bulunmamaktadır. Taşeron kullanımı yapılması halinde (*) işaretli parametreler; Akreditasyon kapsamı dışı ve (**) işaretli parametreler, Taşeron tarafından yapılacak işleri belirtir.</w:t>
      </w:r>
    </w:p>
    <w:p w14:paraId="5B630E7B">
      <w:pPr>
        <w:jc w:val="both"/>
        <w:rPr>
          <w:rFonts w:ascii="ArialMT" w:hAnsi="ArialMT" w:eastAsia="Times New Roman" w:cs="Times New Roman"/>
          <w:color w:val="000000"/>
          <w:sz w:val="18"/>
          <w:szCs w:val="18"/>
          <w:lang w:eastAsia="tr-TR"/>
        </w:rPr>
      </w:pPr>
      <w:r>
        <w:rPr>
          <w:rFonts w:ascii="Arial" w:hAnsi="Arial" w:cs="Arial"/>
          <w:b/>
          <w:sz w:val="18"/>
          <w:szCs w:val="18"/>
        </w:rPr>
        <w:t>10</w:t>
      </w:r>
      <w:r>
        <w:rPr>
          <w:rFonts w:ascii="Arial" w:hAnsi="Arial" w:cs="Arial"/>
          <w:b/>
          <w:sz w:val="16"/>
          <w:szCs w:val="18"/>
          <w:u w:val="single"/>
        </w:rPr>
        <w:t xml:space="preserve">.         </w:t>
      </w:r>
      <w:r>
        <w:rPr>
          <w:rFonts w:ascii="ArialMT" w:hAnsi="ArialMT" w:eastAsia="Times New Roman" w:cs="Times New Roman"/>
          <w:color w:val="000000"/>
          <w:sz w:val="18"/>
          <w:szCs w:val="18"/>
          <w:lang w:eastAsia="tr-TR"/>
        </w:rPr>
        <w:t>İş hijyeni ölçüm, test ve analiz faaliyetlerinin yürütümünde yasal otorite olan Çalışma ve Sosyal Güvenlik Bakanlığı’nın</w:t>
      </w:r>
      <w:r>
        <w:rPr>
          <w:rFonts w:ascii="ArialMT" w:hAnsi="ArialMT" w:eastAsia="Times New Roman" w:cs="Times New Roman"/>
          <w:color w:val="000000"/>
          <w:sz w:val="18"/>
          <w:szCs w:val="18"/>
          <w:lang w:eastAsia="tr-TR"/>
        </w:rPr>
        <w:br w:type="textWrapping"/>
      </w:r>
      <w:r>
        <w:rPr>
          <w:rFonts w:ascii="ArialMT" w:hAnsi="ArialMT" w:eastAsia="Times New Roman" w:cs="Times New Roman"/>
          <w:color w:val="000000"/>
          <w:sz w:val="18"/>
          <w:szCs w:val="18"/>
          <w:lang w:eastAsia="tr-TR"/>
        </w:rPr>
        <w:t xml:space="preserve">19.08.2021 tarihli </w:t>
      </w:r>
      <w:r>
        <w:rPr>
          <w:rFonts w:ascii="Arial-BoldMT" w:hAnsi="Arial-BoldMT" w:eastAsia="Times New Roman" w:cs="Times New Roman"/>
          <w:b/>
          <w:bCs/>
          <w:color w:val="000000"/>
          <w:sz w:val="18"/>
          <w:szCs w:val="18"/>
          <w:lang w:eastAsia="tr-TR"/>
        </w:rPr>
        <w:t xml:space="preserve">Ölçüm, Test ve Analiz sonuçlarının Değerlendirilmesi ve Karar Kuralı Hakkında Duyurusu </w:t>
      </w:r>
      <w:r>
        <w:rPr>
          <w:rFonts w:ascii="ArialMT" w:hAnsi="ArialMT" w:eastAsia="Times New Roman" w:cs="Times New Roman"/>
          <w:color w:val="000000"/>
          <w:sz w:val="18"/>
          <w:szCs w:val="18"/>
          <w:lang w:eastAsia="tr-TR"/>
        </w:rPr>
        <w:t>gereği; İş Hijyeni ölçüm, test ve analiz sonuçlarının değerlendirilerek uygunluk ve uygunsuzluk kararının verilmesi iş hijyeni ölçüm, test ve analizi laboratuvarlarının sorumluluğunda değildir. Dolayısıyla; iş hijyeni laboratuvarları, karar kuralını uygulamayacak, uygunluk veya uygunsuzluk beyanı vermeyeceklerdir.</w:t>
      </w:r>
    </w:p>
    <w:p w14:paraId="40C9F5E6">
      <w:pPr>
        <w:jc w:val="both"/>
        <w:rPr>
          <w:rFonts w:ascii="ArialMT" w:hAnsi="ArialMT" w:eastAsia="Times New Roman" w:cs="Times New Roman"/>
          <w:color w:val="000000"/>
          <w:sz w:val="18"/>
          <w:szCs w:val="18"/>
          <w:u w:val="single"/>
          <w:lang w:eastAsia="tr-TR"/>
        </w:rPr>
      </w:pPr>
      <w:r>
        <w:rPr>
          <w:rFonts w:ascii="ArialMT" w:hAnsi="ArialMT" w:eastAsia="Times New Roman" w:cs="Times New Roman"/>
          <w:b/>
          <w:bCs/>
          <w:color w:val="000000"/>
          <w:sz w:val="18"/>
          <w:szCs w:val="18"/>
          <w:lang w:eastAsia="tr-TR"/>
        </w:rPr>
        <w:t>11</w:t>
      </w:r>
      <w:r>
        <w:rPr>
          <w:rFonts w:ascii="ArialMT" w:hAnsi="ArialMT" w:eastAsia="Times New Roman" w:cs="Times New Roman"/>
          <w:b/>
          <w:bCs/>
          <w:color w:val="000000"/>
          <w:sz w:val="18"/>
          <w:szCs w:val="18"/>
          <w:u w:val="single"/>
          <w:lang w:eastAsia="tr-TR"/>
        </w:rPr>
        <w:t>.</w:t>
      </w:r>
      <w:r>
        <w:rPr>
          <w:rFonts w:ascii="ArialMT" w:hAnsi="ArialMT" w:eastAsia="Times New Roman" w:cs="Times New Roman"/>
          <w:color w:val="000000"/>
          <w:sz w:val="18"/>
          <w:szCs w:val="18"/>
          <w:u w:val="single"/>
          <w:lang w:eastAsia="tr-TR"/>
        </w:rPr>
        <w:t xml:space="preserve"> Çevresel Gürültü ölçüm faaliyetlerinde yasal otorite olan Çevre, Şehircilik ve İklim Değişikliği Bakanlığına bağlı olarak verilen Çevresel Gürültü raporlarında basit karar kuralı uygulanacaktır. Basit karar kuralı uygulama prosedürü web sitemizde yer almaktadır.</w:t>
      </w:r>
    </w:p>
    <w:p w14:paraId="4E04F955">
      <w:pPr>
        <w:jc w:val="both"/>
        <w:rPr>
          <w:rFonts w:ascii="ArialMT" w:hAnsi="ArialMT" w:eastAsia="Times New Roman" w:cs="Times New Roman"/>
          <w:color w:val="000000"/>
          <w:sz w:val="18"/>
          <w:szCs w:val="18"/>
          <w:lang w:eastAsia="tr-TR"/>
        </w:rPr>
      </w:pPr>
      <w:r>
        <w:rPr>
          <w:rFonts w:ascii="ArialMT" w:hAnsi="ArialMT" w:eastAsia="Times New Roman" w:cs="Times New Roman"/>
          <w:color w:val="000000"/>
          <w:sz w:val="18"/>
          <w:szCs w:val="18"/>
          <w:lang w:eastAsia="tr-TR"/>
        </w:rPr>
        <w:t>12. Ölçüm sonuçları; “</w:t>
      </w:r>
      <w:r>
        <w:rPr>
          <w:rFonts w:ascii="Arial" w:hAnsi="Arial" w:eastAsia="Times New Roman" w:cs="Arial"/>
          <w:b/>
          <w:bCs/>
          <w:i/>
          <w:iCs/>
          <w:color w:val="000000"/>
          <w:sz w:val="18"/>
          <w:szCs w:val="18"/>
          <w:lang w:eastAsia="tr-TR"/>
        </w:rPr>
        <w:t>±….*sonuç</w:t>
      </w:r>
      <w:r>
        <w:rPr>
          <w:rFonts w:ascii="Arial" w:hAnsi="Arial" w:eastAsia="Times New Roman" w:cs="Arial"/>
          <w:color w:val="000000"/>
          <w:sz w:val="18"/>
          <w:szCs w:val="18"/>
          <w:lang w:eastAsia="tr-TR"/>
        </w:rPr>
        <w:t xml:space="preserve">” şeklinde ifade edilerek raporda </w:t>
      </w:r>
      <w:r>
        <w:rPr>
          <w:rFonts w:ascii="ArialMT" w:hAnsi="ArialMT" w:eastAsia="Times New Roman" w:cs="Times New Roman"/>
          <w:color w:val="000000"/>
          <w:sz w:val="18"/>
          <w:szCs w:val="18"/>
          <w:lang w:eastAsia="tr-TR"/>
        </w:rPr>
        <w:t>ölçüm belirsizliği başlığı altında verilir.</w:t>
      </w:r>
    </w:p>
    <w:p w14:paraId="53DA3DEF">
      <w:pPr>
        <w:jc w:val="both"/>
        <w:rPr>
          <w:rFonts w:ascii="ArialMT" w:hAnsi="ArialMT" w:eastAsia="Times New Roman" w:cs="Times New Roman"/>
          <w:color w:val="000000"/>
          <w:sz w:val="18"/>
          <w:szCs w:val="18"/>
          <w:lang w:eastAsia="tr-TR"/>
        </w:rPr>
      </w:pPr>
      <w:r>
        <w:rPr>
          <w:rFonts w:ascii="ArialMT" w:hAnsi="ArialMT" w:eastAsia="Times New Roman" w:cs="Times New Roman"/>
          <w:b/>
          <w:bCs/>
          <w:color w:val="000000"/>
          <w:sz w:val="18"/>
          <w:szCs w:val="18"/>
          <w:lang w:eastAsia="tr-TR"/>
        </w:rPr>
        <w:t>13.</w:t>
      </w:r>
      <w:r>
        <w:rPr>
          <w:rFonts w:ascii="ArialMT" w:hAnsi="ArialMT" w:eastAsia="Times New Roman" w:cs="Times New Roman"/>
          <w:color w:val="000000"/>
          <w:sz w:val="18"/>
          <w:szCs w:val="18"/>
          <w:lang w:eastAsia="tr-TR"/>
        </w:rPr>
        <w:t xml:space="preserve"> Deney sonuçlarını doğrudan etkileyen ve müşteriden temin edilen bilgilerden (maruziyet süresi, tesis genel bilgileri, proses bilgileri, hammadde, ürün vb.)  laboratuvar sorumlu değildir.</w:t>
      </w:r>
    </w:p>
    <w:p w14:paraId="13C47958">
      <w:pPr>
        <w:spacing w:line="240" w:lineRule="auto"/>
        <w:jc w:val="both"/>
        <w:rPr>
          <w:rFonts w:ascii="Arial" w:hAnsi="Arial" w:cs="Arial"/>
          <w:b/>
          <w:sz w:val="18"/>
          <w:szCs w:val="18"/>
        </w:rPr>
      </w:pPr>
      <w:r>
        <w:rPr>
          <w:rFonts w:ascii="Arial" w:hAnsi="Arial" w:cs="Arial"/>
          <w:b/>
          <w:sz w:val="18"/>
          <w:szCs w:val="18"/>
        </w:rPr>
        <w:t xml:space="preserve">14. </w:t>
      </w:r>
      <w:r>
        <w:rPr>
          <w:rFonts w:ascii="Arial" w:hAnsi="Arial" w:cs="Arial"/>
          <w:bCs/>
          <w:sz w:val="18"/>
          <w:szCs w:val="18"/>
        </w:rPr>
        <w:t>Tesislerde teklif edilen parametrelerin dışında bir parametre tespit edilmesi durumunda parametreye bağlı olarak karşılıklı görüşmede mutabık kalınan bir ücretlendirme ile kuruluşumuz tarafından ek ücret talep edilecektir.</w:t>
      </w:r>
    </w:p>
    <w:p w14:paraId="0F9CE2F7">
      <w:pPr>
        <w:spacing w:line="240" w:lineRule="auto"/>
        <w:jc w:val="both"/>
        <w:rPr>
          <w:rFonts w:ascii="Arial" w:hAnsi="Arial" w:cs="Arial"/>
          <w:bCs/>
          <w:sz w:val="18"/>
          <w:szCs w:val="18"/>
        </w:rPr>
      </w:pPr>
      <w:r>
        <w:rPr>
          <w:rFonts w:ascii="Arial" w:hAnsi="Arial" w:cs="Arial"/>
          <w:b/>
          <w:sz w:val="18"/>
          <w:szCs w:val="18"/>
        </w:rPr>
        <w:t xml:space="preserve">15. </w:t>
      </w:r>
      <w:r>
        <w:rPr>
          <w:rFonts w:ascii="Arial" w:hAnsi="Arial" w:cs="Arial"/>
          <w:bCs/>
          <w:sz w:val="18"/>
          <w:szCs w:val="18"/>
        </w:rPr>
        <w:t>İşveren / müşterinin, mutabık kalınan hizmet tarihlerindeki değişiklikleri, hizmet tarihinden en geç 3 (üç) iş günü öncesinde kuruluşumuza yazılı olarak bildirim yapması gerekmektedir. Aksi durumda hizmet bedeli ve ulaşım / konaklama masraflarının faturalandırılacağı işveren / müşteri tarafından kabul edilmiş sayılacaktır.</w:t>
      </w:r>
    </w:p>
    <w:p w14:paraId="7811E6D7">
      <w:pPr>
        <w:spacing w:line="240" w:lineRule="auto"/>
        <w:jc w:val="both"/>
        <w:rPr>
          <w:rFonts w:ascii="Arial" w:hAnsi="Arial" w:cs="Arial"/>
          <w:b/>
          <w:sz w:val="18"/>
          <w:szCs w:val="18"/>
        </w:rPr>
      </w:pPr>
      <w:r>
        <w:rPr>
          <w:rFonts w:ascii="Arial" w:hAnsi="Arial" w:cs="Arial"/>
          <w:b/>
          <w:sz w:val="18"/>
          <w:szCs w:val="18"/>
        </w:rPr>
        <w:t>16.</w:t>
      </w:r>
      <w:r>
        <w:rPr>
          <w:rFonts w:ascii="Arial" w:hAnsi="Arial" w:cs="Arial"/>
          <w:bCs/>
          <w:sz w:val="18"/>
          <w:szCs w:val="18"/>
        </w:rPr>
        <w:t xml:space="preserve"> Teklif onayı ile müşteri / işveren kendisine gönderilen FR.72.12.02 İş Hijyeni Ölçüm Ön İnceleme Formu’ unu doldurmayı kabul eder. Aksi durumda kuruluşumuz ölçüm hizmetini gerçekleştirmeme hakkına sahiptir. Zamanında yapılmayan hazırlıklardan dolayı test yapılmayıp başka bir güne ertelenecek olursa ölçüm ücreti talep edilecektir.</w:t>
      </w:r>
    </w:p>
    <w:p w14:paraId="1770D06A">
      <w:pPr>
        <w:spacing w:line="240" w:lineRule="auto"/>
        <w:jc w:val="both"/>
        <w:rPr>
          <w:rFonts w:ascii="Arial" w:hAnsi="Arial" w:cs="Arial"/>
          <w:bCs/>
          <w:sz w:val="18"/>
          <w:szCs w:val="18"/>
        </w:rPr>
      </w:pPr>
      <w:r>
        <w:rPr>
          <w:rFonts w:ascii="Arial" w:hAnsi="Arial" w:cs="Arial"/>
          <w:b/>
          <w:sz w:val="18"/>
          <w:szCs w:val="18"/>
        </w:rPr>
        <w:t>17.</w:t>
      </w:r>
      <w:r>
        <w:rPr>
          <w:rFonts w:ascii="Arial" w:hAnsi="Arial" w:cs="Arial"/>
          <w:bCs/>
          <w:sz w:val="18"/>
          <w:szCs w:val="18"/>
        </w:rPr>
        <w:t xml:space="preserve"> Rapor teslim süresi, en geç 15 (on beş) iş günüdür. Rapor teslim süresi işveren / müşteri tarafından aksi belirtilmedikçe kabul edilmiş sayılacaktır. </w:t>
      </w:r>
    </w:p>
    <w:p w14:paraId="259877B8">
      <w:pPr>
        <w:spacing w:line="240" w:lineRule="auto"/>
        <w:jc w:val="both"/>
        <w:rPr>
          <w:rFonts w:ascii="Arial" w:hAnsi="Arial" w:cs="Arial"/>
          <w:bCs/>
          <w:sz w:val="18"/>
          <w:szCs w:val="18"/>
        </w:rPr>
      </w:pPr>
      <w:r>
        <w:rPr>
          <w:rFonts w:ascii="Arial" w:hAnsi="Arial" w:cs="Arial"/>
          <w:b/>
          <w:sz w:val="18"/>
          <w:szCs w:val="18"/>
        </w:rPr>
        <w:t>18.</w:t>
      </w:r>
      <w:r>
        <w:rPr>
          <w:rFonts w:ascii="Arial" w:hAnsi="Arial" w:cs="Arial"/>
          <w:bCs/>
          <w:sz w:val="18"/>
          <w:szCs w:val="18"/>
        </w:rPr>
        <w:t xml:space="preserve"> Müşteri, raporun tesliminden sonra, rapor içeriklerinde 10 (on) iş günü içerisinde değişiklik, düzenleme yapması ve Asya Asbest Danışmanlık Lab.Hiz.İnş.Tic.Ltd.Şti.’a yazılı olarak bildirmesi durumunda raporlar ücretsiz olarak revize edilir. Aksi durumda ek raporlama ücreti talep edilir. Müşteriden kaynaklı revize raporları talebi için ek teklif formu ile ücretlendirme yapılır.</w:t>
      </w:r>
    </w:p>
    <w:p w14:paraId="5CBEE95A">
      <w:pPr>
        <w:spacing w:line="240" w:lineRule="auto"/>
        <w:jc w:val="both"/>
        <w:rPr>
          <w:rFonts w:ascii="Arial" w:hAnsi="Arial" w:cs="Arial"/>
          <w:bCs/>
          <w:sz w:val="18"/>
          <w:szCs w:val="18"/>
        </w:rPr>
      </w:pPr>
      <w:r>
        <w:rPr>
          <w:rFonts w:ascii="Arial" w:hAnsi="Arial" w:cs="Arial"/>
          <w:b/>
          <w:sz w:val="18"/>
          <w:szCs w:val="18"/>
        </w:rPr>
        <w:t>19.</w:t>
      </w:r>
      <w:r>
        <w:rPr>
          <w:rFonts w:ascii="Arial" w:hAnsi="Arial" w:cs="Arial"/>
          <w:bCs/>
          <w:sz w:val="18"/>
          <w:szCs w:val="18"/>
        </w:rPr>
        <w:t xml:space="preserve"> Teklif, parametreler ve nokta sayıları müşteri talebi doğrultusunda hazırlanmıştır. Tarafımızca keşif yapılıp hazırlanan teklifler, ek ücretlendirme olarak yansıyacaktır.</w:t>
      </w:r>
    </w:p>
    <w:p w14:paraId="768794D4">
      <w:pPr>
        <w:spacing w:line="240" w:lineRule="auto"/>
        <w:jc w:val="both"/>
        <w:rPr>
          <w:rFonts w:ascii="Arial" w:hAnsi="Arial" w:cs="Arial"/>
          <w:bCs/>
          <w:sz w:val="18"/>
          <w:szCs w:val="18"/>
        </w:rPr>
      </w:pPr>
      <w:r>
        <w:rPr>
          <w:rFonts w:ascii="Arial" w:hAnsi="Arial" w:cs="Arial"/>
          <w:b/>
          <w:sz w:val="18"/>
          <w:szCs w:val="18"/>
        </w:rPr>
        <w:t>20.</w:t>
      </w:r>
      <w:r>
        <w:rPr>
          <w:rFonts w:ascii="Arial" w:hAnsi="Arial" w:cs="Arial"/>
          <w:bCs/>
          <w:sz w:val="18"/>
          <w:szCs w:val="18"/>
        </w:rPr>
        <w:t xml:space="preserve"> Yapılan ölçümlerden sonra raporlar firmaya e-imzalı olarak mail gönderilir. Ekstra bir talep durumunda oluşacak ücretler karşılıklı görüşme sonucunda belirlenecektir. Kargo istenmesi durumunda alıcı ödemeli olacaktır. </w:t>
      </w:r>
    </w:p>
    <w:p w14:paraId="423980EB">
      <w:pPr>
        <w:spacing w:line="240" w:lineRule="auto"/>
        <w:jc w:val="both"/>
        <w:rPr>
          <w:rFonts w:ascii="Arial" w:hAnsi="Arial" w:cs="Arial"/>
          <w:b/>
          <w:sz w:val="18"/>
          <w:szCs w:val="18"/>
        </w:rPr>
      </w:pPr>
    </w:p>
    <w:p w14:paraId="4E7CBB8F">
      <w:pPr>
        <w:pStyle w:val="14"/>
        <w:rPr>
          <w:rFonts w:ascii="Arial" w:hAnsi="Arial" w:cs="Arial"/>
          <w:b/>
          <w:sz w:val="18"/>
          <w:szCs w:val="18"/>
        </w:rPr>
      </w:pPr>
      <w:r>
        <w:rPr>
          <w:rFonts w:ascii="Arial" w:hAnsi="Arial" w:cs="Arial"/>
          <w:b/>
          <w:sz w:val="18"/>
          <w:szCs w:val="18"/>
        </w:rPr>
        <w:t xml:space="preserve">Taraflar: </w:t>
      </w:r>
    </w:p>
    <w:p w14:paraId="3FE3E251">
      <w:pPr>
        <w:pStyle w:val="14"/>
        <w:rPr>
          <w:rFonts w:ascii="Arial" w:hAnsi="Arial" w:cs="Arial"/>
          <w:b/>
          <w:sz w:val="18"/>
          <w:szCs w:val="18"/>
        </w:rPr>
      </w:pPr>
      <w:r>
        <w:rPr>
          <w:rFonts w:ascii="Arial" w:hAnsi="Arial" w:cs="Arial"/>
          <w:sz w:val="18"/>
          <w:szCs w:val="18"/>
        </w:rPr>
        <w:t xml:space="preserve">Teklifi Veren </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 xml:space="preserve">Teklifi Onaylayan </w:t>
      </w:r>
    </w:p>
    <w:p w14:paraId="246E1B50">
      <w:pPr>
        <w:spacing w:after="0"/>
      </w:pPr>
    </w:p>
    <w:p w14:paraId="796A7DFB">
      <w:pPr>
        <w:spacing w:after="0"/>
      </w:pPr>
    </w:p>
    <w:p w14:paraId="337B8F44">
      <w:pPr>
        <w:spacing w:after="0"/>
      </w:pPr>
    </w:p>
    <w:p w14:paraId="30C6CF5F">
      <w:pPr>
        <w:spacing w:after="0"/>
      </w:pPr>
    </w:p>
    <w:p w14:paraId="7B9CC4D3">
      <w:pPr>
        <w:spacing w:after="0"/>
      </w:pPr>
    </w:p>
    <w:p w14:paraId="1DB2AF23">
      <w:pPr>
        <w:spacing w:after="0"/>
      </w:pPr>
    </w:p>
    <w:p w14:paraId="6A3F80BC">
      <w:pPr>
        <w:spacing w:after="0"/>
      </w:pPr>
    </w:p>
    <w:p w14:paraId="60BF55C7">
      <w:pPr>
        <w:spacing w:after="0"/>
      </w:pPr>
    </w:p>
    <w:p w14:paraId="739091F3">
      <w:pPr>
        <w:spacing w:after="0"/>
      </w:pPr>
    </w:p>
    <w:p w14:paraId="7743E81A">
      <w:pPr>
        <w:spacing w:after="0"/>
      </w:pPr>
    </w:p>
    <w:p w14:paraId="06CC3401">
      <w:pPr>
        <w:spacing w:after="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080" w:bottom="1440" w:left="1080" w:header="284"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A2"/>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A2"/>
    <w:family w:val="swiss"/>
    <w:pitch w:val="default"/>
    <w:sig w:usb0="E1002EFF" w:usb1="C000605B" w:usb2="00000029" w:usb3="00000000" w:csb0="200101FF" w:csb1="20280000"/>
  </w:font>
  <w:font w:name="ArialMT">
    <w:altName w:val="Arial"/>
    <w:panose1 w:val="00000000000000000000"/>
    <w:charset w:val="00"/>
    <w:family w:val="roman"/>
    <w:pitch w:val="default"/>
    <w:sig w:usb0="00000000" w:usb1="00000000" w:usb2="00000000" w:usb3="00000000" w:csb0="00000000" w:csb1="00000000"/>
  </w:font>
  <w:font w:name="Arial-BoldMT">
    <w:altName w:val="Arial"/>
    <w:panose1 w:val="00000000000000000000"/>
    <w:charset w:val="00"/>
    <w:family w:val="roman"/>
    <w:pitch w:val="default"/>
    <w:sig w:usb0="00000000" w:usb1="00000000" w:usb2="00000000" w:usb3="00000000" w:csb0="00000010" w:csb1="00000000"/>
  </w:font>
  <w:font w:name="Cambria">
    <w:panose1 w:val="02040503050406030204"/>
    <w:charset w:val="A2"/>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D85F">
    <w:pPr>
      <w:pStyle w:val="6"/>
      <w:pBdr>
        <w:top w:val="thinThickSmallGap" w:color="622423" w:themeColor="accent2" w:themeShade="7F" w:sz="24" w:space="0"/>
      </w:pBdr>
      <w:rPr>
        <w:sz w:val="20"/>
        <w:szCs w:val="20"/>
      </w:rPr>
    </w:pPr>
    <w:r>
      <w:rPr>
        <w:rFonts w:asciiTheme="majorHAnsi" w:hAnsiTheme="majorHAnsi" w:eastAsiaTheme="majorEastAsia" w:cstheme="majorBidi"/>
        <w:sz w:val="20"/>
      </w:rPr>
      <w:t>Asya Asbest Danışmanlık ve Laboratuvar Hizmetleri İnş. Tic.  Ltd. Şti</w:t>
    </w:r>
    <w:r>
      <w:rPr>
        <w:rFonts w:asciiTheme="majorHAnsi" w:hAnsiTheme="majorHAnsi" w:eastAsiaTheme="majorEastAsia" w:cstheme="majorBidi"/>
        <w:sz w:val="20"/>
      </w:rPr>
      <w:tab/>
    </w:r>
    <w:r>
      <w:rPr>
        <w:rFonts w:asciiTheme="majorHAnsi" w:hAnsiTheme="majorHAnsi" w:eastAsiaTheme="majorEastAsia" w:cstheme="majorBidi"/>
        <w:sz w:val="20"/>
      </w:rPr>
      <w:tab/>
    </w:r>
    <w:r>
      <w:rPr>
        <w:rFonts w:asciiTheme="majorHAnsi" w:hAnsiTheme="majorHAnsi" w:eastAsiaTheme="majorEastAsia" w:cstheme="majorBidi"/>
        <w:sz w:val="20"/>
      </w:rPr>
      <w:t xml:space="preserve">            Orhantepe </w:t>
    </w:r>
    <w:r>
      <w:rPr>
        <w:sz w:val="20"/>
        <w:szCs w:val="20"/>
      </w:rPr>
      <w:t xml:space="preserve">Aydınlı Mah. Başkomutan Cad. No:3 Asya Plaza Tuzla, İstanbul </w:t>
    </w:r>
  </w:p>
  <w:p w14:paraId="2125A3DF">
    <w:pPr>
      <w:pStyle w:val="6"/>
      <w:pBdr>
        <w:top w:val="thinThickSmallGap" w:color="622423" w:themeColor="accent2" w:themeShade="7F" w:sz="24" w:space="0"/>
      </w:pBdr>
      <w:rPr>
        <w:rFonts w:asciiTheme="majorHAnsi" w:hAnsiTheme="majorHAnsi" w:eastAsiaTheme="majorEastAsia" w:cstheme="majorBidi"/>
        <w:sz w:val="20"/>
      </w:rPr>
    </w:pPr>
    <w:r>
      <w:rPr>
        <w:rFonts w:asciiTheme="majorHAnsi" w:hAnsiTheme="majorHAnsi" w:eastAsiaTheme="majorEastAsia" w:cstheme="majorBidi"/>
        <w:sz w:val="20"/>
      </w:rPr>
      <w:t>Tel: 0216 312 93 81   Gsm: 0532 244 59 39</w:t>
    </w:r>
  </w:p>
  <w:p w14:paraId="43AAE661">
    <w:pPr>
      <w:pStyle w:val="6"/>
      <w:pBdr>
        <w:top w:val="thinThickSmallGap" w:color="622423" w:themeColor="accent2" w:themeShade="7F" w:sz="24" w:space="0"/>
      </w:pBdr>
      <w:rPr>
        <w:rFonts w:asciiTheme="majorHAnsi" w:hAnsiTheme="majorHAnsi" w:eastAsiaTheme="majorEastAsia" w:cstheme="majorBidi"/>
        <w:sz w:val="20"/>
      </w:rPr>
    </w:pPr>
    <w:r>
      <w:rPr>
        <w:rFonts w:asciiTheme="majorHAnsi" w:hAnsiTheme="majorHAnsi" w:eastAsiaTheme="majorEastAsia" w:cstheme="majorBidi"/>
        <w:sz w:val="20"/>
      </w:rPr>
      <w:t xml:space="preserve">Web : </w:t>
    </w:r>
    <w:r>
      <w:fldChar w:fldCharType="begin"/>
    </w:r>
    <w:r>
      <w:instrText xml:space="preserve"> HYPERLINK "http://www.asyadanismanlik.com" </w:instrText>
    </w:r>
    <w:r>
      <w:fldChar w:fldCharType="separate"/>
    </w:r>
    <w:r>
      <w:rPr>
        <w:rStyle w:val="8"/>
        <w:rFonts w:asciiTheme="majorHAnsi" w:hAnsiTheme="majorHAnsi" w:eastAsiaTheme="majorEastAsia" w:cstheme="majorBidi"/>
        <w:sz w:val="20"/>
      </w:rPr>
      <w:t>www.asyadanismanlik.com</w:t>
    </w:r>
    <w:r>
      <w:rPr>
        <w:rStyle w:val="8"/>
        <w:rFonts w:asciiTheme="majorHAnsi" w:hAnsiTheme="majorHAnsi" w:eastAsiaTheme="majorEastAsia" w:cstheme="majorBidi"/>
        <w:sz w:val="20"/>
      </w:rPr>
      <w:fldChar w:fldCharType="end"/>
    </w:r>
    <w:r>
      <w:rPr>
        <w:rFonts w:asciiTheme="majorHAnsi" w:hAnsiTheme="majorHAnsi" w:eastAsiaTheme="majorEastAsia" w:cstheme="majorBidi"/>
        <w:sz w:val="20"/>
      </w:rPr>
      <w:t xml:space="preserve">                                  Email: </w:t>
    </w:r>
    <w:r>
      <w:fldChar w:fldCharType="begin"/>
    </w:r>
    <w:r>
      <w:instrText xml:space="preserve"> HYPERLINK "mailto:info@asyadanismanlik.com" </w:instrText>
    </w:r>
    <w:r>
      <w:fldChar w:fldCharType="separate"/>
    </w:r>
    <w:r>
      <w:rPr>
        <w:rStyle w:val="8"/>
        <w:rFonts w:asciiTheme="majorHAnsi" w:hAnsiTheme="majorHAnsi" w:eastAsiaTheme="majorEastAsia" w:cstheme="majorBidi"/>
        <w:sz w:val="20"/>
      </w:rPr>
      <w:t>info@asyadanismanlik.com</w:t>
    </w:r>
    <w:r>
      <w:rPr>
        <w:rStyle w:val="8"/>
        <w:rFonts w:asciiTheme="majorHAnsi" w:hAnsiTheme="majorHAnsi" w:eastAsiaTheme="majorEastAsia" w:cstheme="majorBidi"/>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966F8">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E5A2C">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10631" w:type="dxa"/>
      <w:tblInd w:w="-4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5833"/>
      <w:gridCol w:w="2302"/>
    </w:tblGrid>
    <w:tr w14:paraId="531E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496" w:type="dxa"/>
          <w:vMerge w:val="restart"/>
          <w:vAlign w:val="center"/>
        </w:tcPr>
        <w:p w14:paraId="5C058491">
          <w:pPr>
            <w:pStyle w:val="7"/>
          </w:pPr>
          <w:r>
            <w:rPr>
              <w:lang w:eastAsia="tr-TR"/>
            </w:rPr>
            <w:drawing>
              <wp:inline distT="0" distB="0" distL="0" distR="0">
                <wp:extent cx="1439545" cy="721360"/>
                <wp:effectExtent l="0" t="0" r="8255" b="254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721905"/>
                        </a:xfrm>
                        <a:prstGeom prst="rect">
                          <a:avLst/>
                        </a:prstGeom>
                      </pic:spPr>
                    </pic:pic>
                  </a:graphicData>
                </a:graphic>
              </wp:inline>
            </w:drawing>
          </w:r>
        </w:p>
      </w:tc>
      <w:tc>
        <w:tcPr>
          <w:tcW w:w="5833" w:type="dxa"/>
          <w:vMerge w:val="restart"/>
          <w:vAlign w:val="center"/>
        </w:tcPr>
        <w:p w14:paraId="5ABB970D">
          <w:pPr>
            <w:pStyle w:val="7"/>
            <w:jc w:val="center"/>
            <w:rPr>
              <w:b/>
              <w:sz w:val="40"/>
              <w:szCs w:val="40"/>
            </w:rPr>
          </w:pPr>
          <w:r>
            <w:rPr>
              <w:b/>
              <w:sz w:val="40"/>
              <w:szCs w:val="40"/>
            </w:rPr>
            <w:t>Ölçüm, Test ve Analiz Hizmetleri Sipariş Formu</w:t>
          </w:r>
        </w:p>
      </w:tc>
      <w:tc>
        <w:tcPr>
          <w:tcW w:w="2302" w:type="dxa"/>
          <w:vAlign w:val="center"/>
        </w:tcPr>
        <w:p w14:paraId="699EA889">
          <w:pPr>
            <w:pStyle w:val="7"/>
            <w:jc w:val="center"/>
            <w:rPr>
              <w:b/>
            </w:rPr>
          </w:pPr>
          <w:r>
            <w:rPr>
              <w:b/>
            </w:rPr>
            <w:t>Teklif No</w:t>
          </w:r>
        </w:p>
        <w:p w14:paraId="06B46F4F">
          <w:pPr>
            <w:pStyle w:val="7"/>
            <w:jc w:val="center"/>
          </w:pPr>
          <w:r>
            <w:rPr>
              <w:rFonts w:hint="default"/>
            </w:rPr>
            <w:t>{{ teklif_no }}</w:t>
          </w:r>
        </w:p>
      </w:tc>
    </w:tr>
    <w:tr w14:paraId="2175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496" w:type="dxa"/>
          <w:vMerge w:val="continue"/>
        </w:tcPr>
        <w:p w14:paraId="5FBF140C">
          <w:pPr>
            <w:pStyle w:val="7"/>
            <w:rPr>
              <w:lang w:eastAsia="tr-TR"/>
            </w:rPr>
          </w:pPr>
        </w:p>
      </w:tc>
      <w:tc>
        <w:tcPr>
          <w:tcW w:w="5833" w:type="dxa"/>
          <w:vMerge w:val="continue"/>
        </w:tcPr>
        <w:p w14:paraId="4070FB0F">
          <w:pPr>
            <w:pStyle w:val="7"/>
          </w:pPr>
        </w:p>
      </w:tc>
      <w:tc>
        <w:tcPr>
          <w:tcW w:w="2302" w:type="dxa"/>
          <w:vMerge w:val="restart"/>
          <w:vAlign w:val="center"/>
        </w:tcPr>
        <w:p w14:paraId="495C3B1A">
          <w:pPr>
            <w:pStyle w:val="7"/>
            <w:jc w:val="center"/>
            <w:rPr>
              <w:b/>
            </w:rPr>
          </w:pPr>
          <w:r>
            <w:rPr>
              <w:b/>
            </w:rPr>
            <w:t>Teklif Tarihi</w:t>
          </w:r>
        </w:p>
        <w:p w14:paraId="72542750">
          <w:pPr>
            <w:pStyle w:val="7"/>
            <w:jc w:val="center"/>
          </w:pPr>
          <w:r>
            <w:rPr>
              <w:rFonts w:hint="default"/>
            </w:rPr>
            <w:t>{{ numune_tarihi }}</w:t>
          </w:r>
        </w:p>
      </w:tc>
    </w:tr>
    <w:tr w14:paraId="2842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2496" w:type="dxa"/>
          <w:vMerge w:val="continue"/>
        </w:tcPr>
        <w:p w14:paraId="024DC3DF">
          <w:pPr>
            <w:pStyle w:val="7"/>
            <w:rPr>
              <w:lang w:eastAsia="tr-TR"/>
            </w:rPr>
          </w:pPr>
        </w:p>
      </w:tc>
      <w:tc>
        <w:tcPr>
          <w:tcW w:w="5833" w:type="dxa"/>
        </w:tcPr>
        <w:p w14:paraId="7C5FE24D">
          <w:pPr>
            <w:pStyle w:val="7"/>
          </w:pPr>
          <w:r>
            <w:t>FR.71.02/21.05.2018/15/23.01.2026</w:t>
          </w:r>
        </w:p>
      </w:tc>
      <w:tc>
        <w:tcPr>
          <w:tcW w:w="2302" w:type="dxa"/>
          <w:vMerge w:val="continue"/>
          <w:vAlign w:val="center"/>
        </w:tcPr>
        <w:p w14:paraId="0579AF32">
          <w:pPr>
            <w:pStyle w:val="7"/>
            <w:jc w:val="center"/>
            <w:rPr>
              <w:b/>
            </w:rPr>
          </w:pPr>
        </w:p>
      </w:tc>
    </w:tr>
  </w:tbl>
  <w:p w14:paraId="25FB516F">
    <w:pPr>
      <w:pStyle w:val="7"/>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09B8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7016">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60E9B"/>
    <w:multiLevelType w:val="multilevel"/>
    <w:tmpl w:val="01860E9B"/>
    <w:lvl w:ilvl="0" w:tentative="0">
      <w:start w:val="1"/>
      <w:numFmt w:val="decimal"/>
      <w:lvlText w:val="%1."/>
      <w:lvlJc w:val="left"/>
      <w:pPr>
        <w:ind w:left="360" w:hanging="360"/>
      </w:pPr>
      <w:rPr>
        <w:rFonts w:ascii="Arial" w:hAnsi="Arial" w:eastAsia="Times New Roman" w:cs="Arial"/>
        <w:b/>
        <w:sz w:val="18"/>
      </w:rPr>
    </w:lvl>
    <w:lvl w:ilvl="1" w:tentative="0">
      <w:start w:val="1"/>
      <w:numFmt w:val="lowerLetter"/>
      <w:lvlText w:val="%2."/>
      <w:lvlJc w:val="left"/>
      <w:pPr>
        <w:ind w:left="1648" w:hanging="360"/>
      </w:pPr>
    </w:lvl>
    <w:lvl w:ilvl="2" w:tentative="0">
      <w:start w:val="1"/>
      <w:numFmt w:val="lowerRoman"/>
      <w:lvlText w:val="%3."/>
      <w:lvlJc w:val="right"/>
      <w:pPr>
        <w:ind w:left="2368" w:hanging="180"/>
      </w:pPr>
    </w:lvl>
    <w:lvl w:ilvl="3" w:tentative="0">
      <w:start w:val="1"/>
      <w:numFmt w:val="decimal"/>
      <w:lvlText w:val="%4."/>
      <w:lvlJc w:val="left"/>
      <w:pPr>
        <w:ind w:left="3088" w:hanging="360"/>
      </w:pPr>
    </w:lvl>
    <w:lvl w:ilvl="4" w:tentative="0">
      <w:start w:val="1"/>
      <w:numFmt w:val="lowerLetter"/>
      <w:lvlText w:val="%5."/>
      <w:lvlJc w:val="left"/>
      <w:pPr>
        <w:ind w:left="3808" w:hanging="360"/>
      </w:pPr>
    </w:lvl>
    <w:lvl w:ilvl="5" w:tentative="0">
      <w:start w:val="1"/>
      <w:numFmt w:val="lowerRoman"/>
      <w:lvlText w:val="%6."/>
      <w:lvlJc w:val="right"/>
      <w:pPr>
        <w:ind w:left="4528" w:hanging="180"/>
      </w:pPr>
    </w:lvl>
    <w:lvl w:ilvl="6" w:tentative="0">
      <w:start w:val="1"/>
      <w:numFmt w:val="decimal"/>
      <w:lvlText w:val="%7."/>
      <w:lvlJc w:val="left"/>
      <w:pPr>
        <w:ind w:left="5248" w:hanging="360"/>
      </w:pPr>
    </w:lvl>
    <w:lvl w:ilvl="7" w:tentative="0">
      <w:start w:val="1"/>
      <w:numFmt w:val="lowerLetter"/>
      <w:lvlText w:val="%8."/>
      <w:lvlJc w:val="left"/>
      <w:pPr>
        <w:ind w:left="5968" w:hanging="360"/>
      </w:pPr>
    </w:lvl>
    <w:lvl w:ilvl="8" w:tentative="0">
      <w:start w:val="1"/>
      <w:numFmt w:val="lowerRoman"/>
      <w:lvlText w:val="%9."/>
      <w:lvlJc w:val="right"/>
      <w:pPr>
        <w:ind w:left="66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C56"/>
    <w:rsid w:val="00000F56"/>
    <w:rsid w:val="0000322F"/>
    <w:rsid w:val="00007F6C"/>
    <w:rsid w:val="0001151B"/>
    <w:rsid w:val="00014F7B"/>
    <w:rsid w:val="000206BB"/>
    <w:rsid w:val="00022A22"/>
    <w:rsid w:val="00022E84"/>
    <w:rsid w:val="00031E3C"/>
    <w:rsid w:val="0003663E"/>
    <w:rsid w:val="00037639"/>
    <w:rsid w:val="00037A65"/>
    <w:rsid w:val="0004172E"/>
    <w:rsid w:val="00046FCE"/>
    <w:rsid w:val="000532F3"/>
    <w:rsid w:val="0007014F"/>
    <w:rsid w:val="00071135"/>
    <w:rsid w:val="00075426"/>
    <w:rsid w:val="000855A2"/>
    <w:rsid w:val="000949B6"/>
    <w:rsid w:val="000B0AEF"/>
    <w:rsid w:val="000C0F9E"/>
    <w:rsid w:val="000C1611"/>
    <w:rsid w:val="000C320E"/>
    <w:rsid w:val="000D0A3F"/>
    <w:rsid w:val="000D57F2"/>
    <w:rsid w:val="000F4CA6"/>
    <w:rsid w:val="00101D2E"/>
    <w:rsid w:val="00104B1D"/>
    <w:rsid w:val="001109BC"/>
    <w:rsid w:val="001113F4"/>
    <w:rsid w:val="00133CDA"/>
    <w:rsid w:val="00135B43"/>
    <w:rsid w:val="0013643C"/>
    <w:rsid w:val="001435C6"/>
    <w:rsid w:val="00156548"/>
    <w:rsid w:val="00166121"/>
    <w:rsid w:val="00166C17"/>
    <w:rsid w:val="0017345F"/>
    <w:rsid w:val="0019050D"/>
    <w:rsid w:val="00190CF3"/>
    <w:rsid w:val="00194A85"/>
    <w:rsid w:val="001D1AC6"/>
    <w:rsid w:val="00205395"/>
    <w:rsid w:val="002056BC"/>
    <w:rsid w:val="00220F07"/>
    <w:rsid w:val="00221439"/>
    <w:rsid w:val="00225F50"/>
    <w:rsid w:val="00227B3E"/>
    <w:rsid w:val="00235314"/>
    <w:rsid w:val="002429AD"/>
    <w:rsid w:val="0024525B"/>
    <w:rsid w:val="00260C6D"/>
    <w:rsid w:val="00261324"/>
    <w:rsid w:val="00261434"/>
    <w:rsid w:val="00266DAD"/>
    <w:rsid w:val="00267CC1"/>
    <w:rsid w:val="00271083"/>
    <w:rsid w:val="002818D5"/>
    <w:rsid w:val="00283EA7"/>
    <w:rsid w:val="002842E7"/>
    <w:rsid w:val="00287341"/>
    <w:rsid w:val="002A3F3A"/>
    <w:rsid w:val="002B0D85"/>
    <w:rsid w:val="002C3023"/>
    <w:rsid w:val="002E3594"/>
    <w:rsid w:val="002F0CB5"/>
    <w:rsid w:val="002F706C"/>
    <w:rsid w:val="003207A1"/>
    <w:rsid w:val="003363B2"/>
    <w:rsid w:val="00337B78"/>
    <w:rsid w:val="00346023"/>
    <w:rsid w:val="003525F4"/>
    <w:rsid w:val="00354030"/>
    <w:rsid w:val="00356A96"/>
    <w:rsid w:val="00370AE0"/>
    <w:rsid w:val="00374511"/>
    <w:rsid w:val="003811C2"/>
    <w:rsid w:val="003B11B6"/>
    <w:rsid w:val="003B2DEF"/>
    <w:rsid w:val="003D034F"/>
    <w:rsid w:val="003D0948"/>
    <w:rsid w:val="003E65E5"/>
    <w:rsid w:val="003E6CEF"/>
    <w:rsid w:val="003F0CF3"/>
    <w:rsid w:val="003F1ACC"/>
    <w:rsid w:val="003F305A"/>
    <w:rsid w:val="004069AA"/>
    <w:rsid w:val="00434591"/>
    <w:rsid w:val="004407BC"/>
    <w:rsid w:val="00446CC3"/>
    <w:rsid w:val="00447157"/>
    <w:rsid w:val="00466247"/>
    <w:rsid w:val="00466543"/>
    <w:rsid w:val="004670F1"/>
    <w:rsid w:val="00473EE7"/>
    <w:rsid w:val="0048179F"/>
    <w:rsid w:val="0048278F"/>
    <w:rsid w:val="00490702"/>
    <w:rsid w:val="004918B7"/>
    <w:rsid w:val="00497B8B"/>
    <w:rsid w:val="004B0F69"/>
    <w:rsid w:val="004C1A7F"/>
    <w:rsid w:val="004D207B"/>
    <w:rsid w:val="004E109E"/>
    <w:rsid w:val="004F5ABA"/>
    <w:rsid w:val="00505592"/>
    <w:rsid w:val="005079EF"/>
    <w:rsid w:val="00513382"/>
    <w:rsid w:val="005176FE"/>
    <w:rsid w:val="00517CE3"/>
    <w:rsid w:val="0052372A"/>
    <w:rsid w:val="005317B4"/>
    <w:rsid w:val="00542D62"/>
    <w:rsid w:val="00543ACD"/>
    <w:rsid w:val="005540F4"/>
    <w:rsid w:val="00562C43"/>
    <w:rsid w:val="005635E8"/>
    <w:rsid w:val="00565AAD"/>
    <w:rsid w:val="00566B31"/>
    <w:rsid w:val="00570C96"/>
    <w:rsid w:val="005810FF"/>
    <w:rsid w:val="00587C7D"/>
    <w:rsid w:val="005906B3"/>
    <w:rsid w:val="00590BF1"/>
    <w:rsid w:val="005942B5"/>
    <w:rsid w:val="00597D5F"/>
    <w:rsid w:val="005B3CDD"/>
    <w:rsid w:val="005B7DEC"/>
    <w:rsid w:val="005C4A38"/>
    <w:rsid w:val="005C5FF3"/>
    <w:rsid w:val="005E1D26"/>
    <w:rsid w:val="005E219F"/>
    <w:rsid w:val="005F0389"/>
    <w:rsid w:val="005F3804"/>
    <w:rsid w:val="005F4206"/>
    <w:rsid w:val="0060096E"/>
    <w:rsid w:val="00601CCC"/>
    <w:rsid w:val="00621453"/>
    <w:rsid w:val="00626AB1"/>
    <w:rsid w:val="00627FDC"/>
    <w:rsid w:val="006311A2"/>
    <w:rsid w:val="00631B39"/>
    <w:rsid w:val="00633F86"/>
    <w:rsid w:val="00650B59"/>
    <w:rsid w:val="00651037"/>
    <w:rsid w:val="0066489B"/>
    <w:rsid w:val="00671620"/>
    <w:rsid w:val="0068100E"/>
    <w:rsid w:val="0068363E"/>
    <w:rsid w:val="0068637A"/>
    <w:rsid w:val="006A5046"/>
    <w:rsid w:val="006A6928"/>
    <w:rsid w:val="006B2924"/>
    <w:rsid w:val="006B42B7"/>
    <w:rsid w:val="006B74DB"/>
    <w:rsid w:val="006C3596"/>
    <w:rsid w:val="006D1D4B"/>
    <w:rsid w:val="006D3F1D"/>
    <w:rsid w:val="006D4DD6"/>
    <w:rsid w:val="006E3988"/>
    <w:rsid w:val="006F5665"/>
    <w:rsid w:val="006F5C09"/>
    <w:rsid w:val="00701411"/>
    <w:rsid w:val="007133FB"/>
    <w:rsid w:val="00714C0E"/>
    <w:rsid w:val="007344CF"/>
    <w:rsid w:val="00735824"/>
    <w:rsid w:val="007451FD"/>
    <w:rsid w:val="00746739"/>
    <w:rsid w:val="00753202"/>
    <w:rsid w:val="00755C6D"/>
    <w:rsid w:val="00763D64"/>
    <w:rsid w:val="007652F1"/>
    <w:rsid w:val="00774636"/>
    <w:rsid w:val="0077560B"/>
    <w:rsid w:val="0077694B"/>
    <w:rsid w:val="007772CC"/>
    <w:rsid w:val="007968C5"/>
    <w:rsid w:val="007978E5"/>
    <w:rsid w:val="007B2F6C"/>
    <w:rsid w:val="007B3DCB"/>
    <w:rsid w:val="007C0F34"/>
    <w:rsid w:val="007C23B3"/>
    <w:rsid w:val="007D28FD"/>
    <w:rsid w:val="007E465D"/>
    <w:rsid w:val="007E4AEA"/>
    <w:rsid w:val="007E54EB"/>
    <w:rsid w:val="007F2058"/>
    <w:rsid w:val="007F7395"/>
    <w:rsid w:val="007F7515"/>
    <w:rsid w:val="00806B48"/>
    <w:rsid w:val="00807BA6"/>
    <w:rsid w:val="00817B66"/>
    <w:rsid w:val="00821D59"/>
    <w:rsid w:val="00825216"/>
    <w:rsid w:val="00833ACF"/>
    <w:rsid w:val="00845CDA"/>
    <w:rsid w:val="00865CE8"/>
    <w:rsid w:val="00876D6A"/>
    <w:rsid w:val="00877C06"/>
    <w:rsid w:val="0088205E"/>
    <w:rsid w:val="00882D5F"/>
    <w:rsid w:val="00890903"/>
    <w:rsid w:val="0089394B"/>
    <w:rsid w:val="008956DA"/>
    <w:rsid w:val="008A62CC"/>
    <w:rsid w:val="008B2788"/>
    <w:rsid w:val="008B4741"/>
    <w:rsid w:val="008C173B"/>
    <w:rsid w:val="008C22A1"/>
    <w:rsid w:val="00905093"/>
    <w:rsid w:val="0091081B"/>
    <w:rsid w:val="00917E63"/>
    <w:rsid w:val="00932A71"/>
    <w:rsid w:val="0096318C"/>
    <w:rsid w:val="00965E53"/>
    <w:rsid w:val="0096625D"/>
    <w:rsid w:val="00967A0B"/>
    <w:rsid w:val="00967AE6"/>
    <w:rsid w:val="009813F1"/>
    <w:rsid w:val="00986890"/>
    <w:rsid w:val="00987823"/>
    <w:rsid w:val="009917B9"/>
    <w:rsid w:val="00991A2F"/>
    <w:rsid w:val="009975FE"/>
    <w:rsid w:val="009A2C40"/>
    <w:rsid w:val="009C0F7B"/>
    <w:rsid w:val="009D39A1"/>
    <w:rsid w:val="00A00937"/>
    <w:rsid w:val="00A02A54"/>
    <w:rsid w:val="00A16741"/>
    <w:rsid w:val="00A30831"/>
    <w:rsid w:val="00A31D43"/>
    <w:rsid w:val="00A5256B"/>
    <w:rsid w:val="00A55BD1"/>
    <w:rsid w:val="00A56B7B"/>
    <w:rsid w:val="00A60F88"/>
    <w:rsid w:val="00A65E94"/>
    <w:rsid w:val="00A77BD0"/>
    <w:rsid w:val="00A809D1"/>
    <w:rsid w:val="00A90268"/>
    <w:rsid w:val="00AA5EAF"/>
    <w:rsid w:val="00AD25D4"/>
    <w:rsid w:val="00AF47DF"/>
    <w:rsid w:val="00B07E14"/>
    <w:rsid w:val="00B46EA7"/>
    <w:rsid w:val="00B47522"/>
    <w:rsid w:val="00B75ECD"/>
    <w:rsid w:val="00B7646A"/>
    <w:rsid w:val="00B83678"/>
    <w:rsid w:val="00BA0F91"/>
    <w:rsid w:val="00BA3396"/>
    <w:rsid w:val="00BA4479"/>
    <w:rsid w:val="00BA588E"/>
    <w:rsid w:val="00BA7992"/>
    <w:rsid w:val="00BB2C51"/>
    <w:rsid w:val="00BB5CF2"/>
    <w:rsid w:val="00BB7642"/>
    <w:rsid w:val="00BC501A"/>
    <w:rsid w:val="00BE2AE3"/>
    <w:rsid w:val="00BF1E25"/>
    <w:rsid w:val="00BF5165"/>
    <w:rsid w:val="00C0536F"/>
    <w:rsid w:val="00C14114"/>
    <w:rsid w:val="00C15F92"/>
    <w:rsid w:val="00C16A51"/>
    <w:rsid w:val="00C16B9B"/>
    <w:rsid w:val="00C16DEA"/>
    <w:rsid w:val="00C16E79"/>
    <w:rsid w:val="00C44287"/>
    <w:rsid w:val="00C4481F"/>
    <w:rsid w:val="00C47964"/>
    <w:rsid w:val="00C61BA1"/>
    <w:rsid w:val="00C6629E"/>
    <w:rsid w:val="00C66F7F"/>
    <w:rsid w:val="00C73E06"/>
    <w:rsid w:val="00C971EF"/>
    <w:rsid w:val="00CA2FEC"/>
    <w:rsid w:val="00CA5C85"/>
    <w:rsid w:val="00CC5C32"/>
    <w:rsid w:val="00CC6D44"/>
    <w:rsid w:val="00CE02F5"/>
    <w:rsid w:val="00CE32C6"/>
    <w:rsid w:val="00CE4A32"/>
    <w:rsid w:val="00CF5C49"/>
    <w:rsid w:val="00D03174"/>
    <w:rsid w:val="00D05308"/>
    <w:rsid w:val="00D131F6"/>
    <w:rsid w:val="00D1390C"/>
    <w:rsid w:val="00D13D49"/>
    <w:rsid w:val="00D20BB6"/>
    <w:rsid w:val="00D40552"/>
    <w:rsid w:val="00D45880"/>
    <w:rsid w:val="00D465C8"/>
    <w:rsid w:val="00D613B3"/>
    <w:rsid w:val="00D6484D"/>
    <w:rsid w:val="00D7427A"/>
    <w:rsid w:val="00D87982"/>
    <w:rsid w:val="00DA0F1B"/>
    <w:rsid w:val="00DA7265"/>
    <w:rsid w:val="00DC08D9"/>
    <w:rsid w:val="00DE3A1C"/>
    <w:rsid w:val="00DF26C1"/>
    <w:rsid w:val="00DF78A5"/>
    <w:rsid w:val="00E145E8"/>
    <w:rsid w:val="00E20630"/>
    <w:rsid w:val="00E2311D"/>
    <w:rsid w:val="00E2502B"/>
    <w:rsid w:val="00E34742"/>
    <w:rsid w:val="00E4622B"/>
    <w:rsid w:val="00E519BA"/>
    <w:rsid w:val="00E51BD5"/>
    <w:rsid w:val="00E52074"/>
    <w:rsid w:val="00E63D25"/>
    <w:rsid w:val="00E65D0D"/>
    <w:rsid w:val="00E66867"/>
    <w:rsid w:val="00E76040"/>
    <w:rsid w:val="00E76F3F"/>
    <w:rsid w:val="00E92C08"/>
    <w:rsid w:val="00EA7C86"/>
    <w:rsid w:val="00EB0419"/>
    <w:rsid w:val="00EC6DA8"/>
    <w:rsid w:val="00ED4BCE"/>
    <w:rsid w:val="00EE7A3E"/>
    <w:rsid w:val="00EF105E"/>
    <w:rsid w:val="00EF46BA"/>
    <w:rsid w:val="00EF4B8B"/>
    <w:rsid w:val="00F03342"/>
    <w:rsid w:val="00F07A53"/>
    <w:rsid w:val="00F12197"/>
    <w:rsid w:val="00F204E0"/>
    <w:rsid w:val="00F24965"/>
    <w:rsid w:val="00F279D8"/>
    <w:rsid w:val="00F343B1"/>
    <w:rsid w:val="00F420C4"/>
    <w:rsid w:val="00F5578C"/>
    <w:rsid w:val="00F60130"/>
    <w:rsid w:val="00F637A0"/>
    <w:rsid w:val="00F91F64"/>
    <w:rsid w:val="00F9623E"/>
    <w:rsid w:val="00F96C56"/>
    <w:rsid w:val="00FA097E"/>
    <w:rsid w:val="00FA2E51"/>
    <w:rsid w:val="00FA3BBB"/>
    <w:rsid w:val="00FD0B5E"/>
    <w:rsid w:val="00FE3C56"/>
    <w:rsid w:val="00FE4A26"/>
    <w:rsid w:val="00FE5DAD"/>
    <w:rsid w:val="00FF3A2F"/>
    <w:rsid w:val="11DF12C2"/>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tr-TR" w:eastAsia="en-US" w:bidi="ar-SA"/>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Tahoma" w:hAnsi="Tahoma" w:cs="Tahoma"/>
      <w:sz w:val="16"/>
      <w:szCs w:val="16"/>
    </w:rPr>
  </w:style>
  <w:style w:type="paragraph" w:styleId="5">
    <w:name w:val="Body Text"/>
    <w:basedOn w:val="1"/>
    <w:link w:val="16"/>
    <w:uiPriority w:val="0"/>
    <w:pPr>
      <w:spacing w:after="0" w:line="240" w:lineRule="auto"/>
    </w:pPr>
    <w:rPr>
      <w:rFonts w:ascii="Arial" w:hAnsi="Arial" w:eastAsia="Times New Roman" w:cs="Times New Roman"/>
      <w:sz w:val="24"/>
      <w:szCs w:val="24"/>
      <w:lang w:eastAsia="tr-TR"/>
    </w:rPr>
  </w:style>
  <w:style w:type="paragraph" w:styleId="6">
    <w:name w:val="footer"/>
    <w:basedOn w:val="1"/>
    <w:link w:val="12"/>
    <w:unhideWhenUsed/>
    <w:qFormat/>
    <w:uiPriority w:val="99"/>
    <w:pPr>
      <w:tabs>
        <w:tab w:val="center" w:pos="4536"/>
        <w:tab w:val="right" w:pos="9072"/>
      </w:tabs>
      <w:spacing w:after="0" w:line="240" w:lineRule="auto"/>
    </w:pPr>
  </w:style>
  <w:style w:type="paragraph" w:styleId="7">
    <w:name w:val="header"/>
    <w:basedOn w:val="1"/>
    <w:link w:val="11"/>
    <w:unhideWhenUsed/>
    <w:qFormat/>
    <w:uiPriority w:val="99"/>
    <w:pPr>
      <w:tabs>
        <w:tab w:val="center" w:pos="4536"/>
        <w:tab w:val="right" w:pos="9072"/>
      </w:tabs>
      <w:spacing w:after="0" w:line="240" w:lineRule="auto"/>
    </w:pPr>
  </w:style>
  <w:style w:type="character" w:styleId="8">
    <w:name w:val="Hyperlink"/>
    <w:basedOn w:val="2"/>
    <w:unhideWhenUsed/>
    <w:uiPriority w:val="99"/>
    <w:rPr>
      <w:color w:val="0000FF" w:themeColor="hyperlink"/>
      <w:u w:val="single"/>
      <w14:textFill>
        <w14:solidFill>
          <w14:schemeClr w14:val="hlink"/>
        </w14:solidFill>
      </w14:textFill>
    </w:rPr>
  </w:style>
  <w:style w:type="character" w:styleId="9">
    <w:name w:val="Strong"/>
    <w:basedOn w:val="2"/>
    <w:qFormat/>
    <w:uiPriority w:val="22"/>
    <w:rPr>
      <w:b/>
      <w:bCs/>
    </w:rPr>
  </w:style>
  <w:style w:type="table" w:styleId="10">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Üst Bilgi Char"/>
    <w:basedOn w:val="2"/>
    <w:link w:val="7"/>
    <w:uiPriority w:val="99"/>
  </w:style>
  <w:style w:type="character" w:customStyle="1" w:styleId="12">
    <w:name w:val="Alt Bilgi Char"/>
    <w:basedOn w:val="2"/>
    <w:link w:val="6"/>
    <w:qFormat/>
    <w:uiPriority w:val="99"/>
  </w:style>
  <w:style w:type="character" w:customStyle="1" w:styleId="13">
    <w:name w:val="Balon Metni Char"/>
    <w:basedOn w:val="2"/>
    <w:link w:val="4"/>
    <w:semiHidden/>
    <w:qFormat/>
    <w:uiPriority w:val="99"/>
    <w:rPr>
      <w:rFonts w:ascii="Tahoma" w:hAnsi="Tahoma" w:cs="Tahoma"/>
      <w:sz w:val="16"/>
      <w:szCs w:val="16"/>
    </w:rPr>
  </w:style>
  <w:style w:type="paragraph" w:styleId="14">
    <w:name w:val="List Paragraph"/>
    <w:basedOn w:val="1"/>
    <w:qFormat/>
    <w:uiPriority w:val="34"/>
    <w:pPr>
      <w:ind w:left="720"/>
      <w:contextualSpacing/>
    </w:pPr>
  </w:style>
  <w:style w:type="character" w:customStyle="1" w:styleId="15">
    <w:name w:val="apple-converted-space"/>
    <w:basedOn w:val="2"/>
    <w:uiPriority w:val="0"/>
  </w:style>
  <w:style w:type="character" w:customStyle="1" w:styleId="16">
    <w:name w:val="Gövde Metni Char"/>
    <w:basedOn w:val="2"/>
    <w:link w:val="5"/>
    <w:qFormat/>
    <w:uiPriority w:val="0"/>
    <w:rPr>
      <w:rFonts w:ascii="Arial" w:hAnsi="Arial" w:eastAsia="Times New Roman" w:cs="Times New Roman"/>
      <w:sz w:val="24"/>
      <w:szCs w:val="24"/>
      <w:lang w:eastAsia="tr-TR"/>
    </w:rPr>
  </w:style>
  <w:style w:type="character" w:customStyle="1" w:styleId="17">
    <w:name w:val="fontstyle01"/>
    <w:basedOn w:val="2"/>
    <w:qFormat/>
    <w:uiPriority w:val="0"/>
    <w:rPr>
      <w:rFonts w:hint="default" w:ascii="ArialMT" w:hAnsi="ArialMT"/>
      <w:color w:val="000000"/>
      <w:sz w:val="18"/>
      <w:szCs w:val="18"/>
    </w:rPr>
  </w:style>
  <w:style w:type="character" w:customStyle="1" w:styleId="18">
    <w:name w:val="fontstyle21"/>
    <w:basedOn w:val="2"/>
    <w:qFormat/>
    <w:uiPriority w:val="0"/>
    <w:rPr>
      <w:rFonts w:hint="default" w:ascii="Arial-BoldMT" w:hAnsi="Arial-BoldMT"/>
      <w:b/>
      <w:bCs/>
      <w:color w:val="000000"/>
      <w:sz w:val="18"/>
      <w:szCs w:val="18"/>
    </w:rPr>
  </w:style>
  <w:style w:type="character" w:customStyle="1" w:styleId="19">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Pages>
  <Words>906</Words>
  <Characters>5170</Characters>
  <Lines>43</Lines>
  <Paragraphs>12</Paragraphs>
  <TotalTime>0</TotalTime>
  <ScaleCrop>false</ScaleCrop>
  <LinksUpToDate>false</LinksUpToDate>
  <CharactersWithSpaces>6064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2026-02-05T11:47:00Z</dcterms:created>
  <dc:creator>AliKemal</dc:creator>
  <cp:lastModifiedBy>gizem</cp:lastModifiedBy>
  <cp:lastPrinted>2026-08-13T08:14:00Z</cp:lastPrinted>
  <dcterms:modified xsi:type="dcterms:W3CDTF">2026-08-27T19:57:45Z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E935E1FF2C084958B4D1DC7EA3ECBDC8_13</vt:lpwstr>
  </property>
</Properties>
</file>