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DEA13B">
      <w:pPr>
        <w:spacing w:after="720"/>
        <w:jc w:val="center"/>
      </w:pPr>
      <w:bookmarkStart w:id="73" w:name="_GoBack"/>
      <w:bookmarkEnd w:id="73"/>
      <w:r>
        <w:rPr>
          <w:rFonts w:ascii="Arial" w:hAnsi="Arial"/>
          <w:b w:val="0"/>
          <w:sz w:val="20"/>
        </w:rPr>
        <w:t>[TÜBİTAK LOGOSU — şablon ekindeki logo buraya yerleştirilir]</w:t>
      </w:r>
    </w:p>
    <w:p w14:paraId="3678E14C">
      <w:pPr>
        <w:spacing w:after="720"/>
        <w:jc w:val="center"/>
      </w:pPr>
      <w:r>
        <w:rPr>
          <w:rFonts w:ascii="Arial" w:hAnsi="Arial"/>
          <w:b/>
          <w:sz w:val="28"/>
        </w:rPr>
        <w:t>Önemli Enerji Kullanıcısı Bir Kampüs Binasında ISO 50001 Uyumlu Enerji Tüketiminin Çok Amaçlı Optimizasyonu: Vekil Model Tabanlı Yöntem Tasarımı ve Simülasyon Destekli Sayısal Doğrulama</w:t>
      </w:r>
    </w:p>
    <w:p w14:paraId="5840262D">
      <w:pPr>
        <w:spacing w:after="120"/>
        <w:jc w:val="center"/>
      </w:pPr>
      <w:r>
        <w:rPr>
          <w:rFonts w:ascii="Arial" w:hAnsi="Arial"/>
          <w:b w:val="0"/>
          <w:sz w:val="22"/>
        </w:rPr>
        <w:t>Program Kodu: [PROGRAM KODU]</w:t>
      </w:r>
    </w:p>
    <w:p w14:paraId="1685D0F5">
      <w:pPr>
        <w:spacing w:after="600"/>
        <w:jc w:val="center"/>
      </w:pPr>
      <w:r>
        <w:rPr>
          <w:rFonts w:ascii="Arial" w:hAnsi="Arial"/>
          <w:b w:val="0"/>
          <w:sz w:val="22"/>
        </w:rPr>
        <w:t>Proje No: [PROJE NO]</w:t>
      </w:r>
    </w:p>
    <w:p w14:paraId="471610FF">
      <w:pPr>
        <w:spacing w:after="40"/>
        <w:jc w:val="center"/>
      </w:pPr>
      <w:r>
        <w:rPr>
          <w:rFonts w:ascii="Arial" w:hAnsi="Arial"/>
          <w:b/>
          <w:sz w:val="22"/>
        </w:rPr>
        <w:t>Proje Yürütücüsü:</w:t>
      </w:r>
    </w:p>
    <w:p w14:paraId="33381B30">
      <w:pPr>
        <w:spacing w:after="480"/>
        <w:jc w:val="center"/>
      </w:pPr>
      <w:r>
        <w:rPr>
          <w:rFonts w:ascii="Arial" w:hAnsi="Arial"/>
          <w:b w:val="0"/>
          <w:sz w:val="22"/>
        </w:rPr>
        <w:t>[PROJE YÜRÜTÜCÜSÜ]</w:t>
      </w:r>
    </w:p>
    <w:p w14:paraId="5A6EE2CB">
      <w:pPr>
        <w:spacing w:after="40"/>
        <w:jc w:val="center"/>
      </w:pPr>
      <w:r>
        <w:rPr>
          <w:rFonts w:ascii="Arial" w:hAnsi="Arial"/>
          <w:b/>
          <w:sz w:val="22"/>
        </w:rPr>
        <w:t>Araştırmacı(lar):</w:t>
      </w:r>
    </w:p>
    <w:p w14:paraId="2974A8AB">
      <w:pPr>
        <w:spacing w:after="40"/>
        <w:jc w:val="center"/>
      </w:pPr>
      <w:r>
        <w:rPr>
          <w:rFonts w:ascii="Arial" w:hAnsi="Arial"/>
          <w:b w:val="0"/>
          <w:sz w:val="22"/>
        </w:rPr>
        <w:t>[ARAŞTIRMACI]</w:t>
      </w:r>
    </w:p>
    <w:p w14:paraId="4729E0D3">
      <w:pPr>
        <w:spacing w:after="440"/>
        <w:jc w:val="center"/>
      </w:pPr>
    </w:p>
    <w:p w14:paraId="53FD319C">
      <w:pPr>
        <w:spacing w:after="40"/>
        <w:jc w:val="center"/>
      </w:pPr>
      <w:r>
        <w:rPr>
          <w:rFonts w:ascii="Arial" w:hAnsi="Arial"/>
          <w:b/>
          <w:sz w:val="22"/>
        </w:rPr>
        <w:t>Danışman(lar):</w:t>
      </w:r>
    </w:p>
    <w:p w14:paraId="1CA62161">
      <w:pPr>
        <w:spacing w:after="40"/>
        <w:jc w:val="center"/>
      </w:pPr>
      <w:r>
        <w:rPr>
          <w:rFonts w:ascii="Arial" w:hAnsi="Arial"/>
          <w:b w:val="0"/>
          <w:sz w:val="22"/>
        </w:rPr>
        <w:t>[DANIŞMAN]</w:t>
      </w:r>
    </w:p>
    <w:p w14:paraId="0936E6E6">
      <w:pPr>
        <w:spacing w:after="440"/>
        <w:jc w:val="center"/>
      </w:pPr>
    </w:p>
    <w:p w14:paraId="67A27CAE">
      <w:pPr>
        <w:spacing w:after="40"/>
        <w:jc w:val="center"/>
      </w:pPr>
      <w:r>
        <w:rPr>
          <w:rFonts w:ascii="Arial" w:hAnsi="Arial"/>
          <w:b/>
          <w:sz w:val="22"/>
        </w:rPr>
        <w:t>Bursiyer(ler):</w:t>
      </w:r>
    </w:p>
    <w:p w14:paraId="47F4DB8D">
      <w:pPr>
        <w:spacing w:after="40"/>
        <w:jc w:val="center"/>
      </w:pPr>
      <w:r>
        <w:rPr>
          <w:rFonts w:ascii="Arial" w:hAnsi="Arial"/>
          <w:b w:val="0"/>
          <w:sz w:val="22"/>
        </w:rPr>
        <w:t>[BURSİYER]</w:t>
      </w:r>
    </w:p>
    <w:p w14:paraId="43008506">
      <w:pPr>
        <w:spacing w:after="1200"/>
        <w:jc w:val="center"/>
      </w:pPr>
    </w:p>
    <w:p w14:paraId="641DCF8A">
      <w:pPr>
        <w:spacing w:after="40"/>
        <w:jc w:val="center"/>
      </w:pPr>
      <w:r>
        <w:rPr>
          <w:rFonts w:ascii="Arial" w:hAnsi="Arial"/>
          <w:b w:val="0"/>
          <w:sz w:val="22"/>
        </w:rPr>
        <w:t>AĞUSTOS 2026</w:t>
      </w:r>
    </w:p>
    <w:p w14:paraId="0257D2F4">
      <w:pPr>
        <w:spacing w:after="40"/>
        <w:jc w:val="center"/>
      </w:pPr>
      <w:r>
        <w:rPr>
          <w:rFonts w:ascii="Arial" w:hAnsi="Arial"/>
          <w:b w:val="0"/>
          <w:sz w:val="22"/>
        </w:rPr>
        <w:t>[ŞEHİR]</w:t>
      </w:r>
    </w:p>
    <w:p w14:paraId="7FAC9926">
      <w:pPr>
        <w:sectPr>
          <w:headerReference r:id="rId7" w:type="first"/>
          <w:footerReference r:id="rId10" w:type="first"/>
          <w:headerReference r:id="rId5" w:type="default"/>
          <w:footerReference r:id="rId8" w:type="default"/>
          <w:headerReference r:id="rId6" w:type="even"/>
          <w:footerReference r:id="rId9" w:type="even"/>
          <w:pgSz w:w="12240" w:h="15840"/>
          <w:pgMar w:top="1701" w:right="1417" w:bottom="1417" w:left="1417" w:header="720" w:footer="720" w:gutter="0"/>
          <w:cols w:space="720" w:num="1"/>
          <w:docGrid w:linePitch="360" w:charSpace="0"/>
        </w:sectPr>
      </w:pPr>
    </w:p>
    <w:p w14:paraId="24B2A491">
      <w:pPr>
        <w:pStyle w:val="2"/>
        <w:jc w:val="center"/>
      </w:pPr>
      <w:bookmarkStart w:id="0" w:name="_Toc10428"/>
      <w:r>
        <w:rPr>
          <w:rFonts w:ascii="Arial" w:hAnsi="Arial"/>
          <w:b/>
          <w:sz w:val="22"/>
        </w:rPr>
        <w:t>ÖNSÖZ</w:t>
      </w:r>
      <w:bookmarkEnd w:id="0"/>
    </w:p>
    <w:p w14:paraId="5FD3FD9F">
      <w:pPr>
        <w:jc w:val="both"/>
      </w:pPr>
      <w:r>
        <w:rPr>
          <w:rFonts w:ascii="Arial" w:hAnsi="Arial"/>
          <w:sz w:val="22"/>
        </w:rPr>
        <w:t>Bu rapor, önemli enerji kullanıcısı niteliğindeki bir kampüs binasının yıllık enerji tüketiminin ISO 50001 çerçevesinde ele alınması ve vekil model tabanlı çok amaçlı optimizasyon yöntemiyle iyileştirilmesi üzerine yürütülen çalışmanın sonuçlarını sunmaktadır. Çalışmanın özgün yönü, önerilen yöntemin yalnızca kurulmakla kalmayıp, ürettiği çözümlerin bağımsız EnergyPlus koşularıyla sayısal olarak doğrulanmış olmasıdır. Doğrulama sürecinde ortaya çıkan ve literatürde sıkça atlanan bir tuzak — optimizasyonun vekil modelin hatasını sömürmesi — bu raporda ölçülmüş ve giderilmiştir.</w:t>
      </w:r>
    </w:p>
    <w:p w14:paraId="59280FA8">
      <w:pPr>
        <w:jc w:val="both"/>
      </w:pPr>
      <w:r>
        <w:rPr>
          <w:rFonts w:ascii="Arial" w:hAnsi="Arial"/>
          <w:sz w:val="22"/>
        </w:rPr>
        <w:t>Bu çalışma, Türkiye Bilimsel ve Teknolojik Araştırma Kurumu (TÜBİTAK) tarafından [PROJE NO] numaralı proje kapsamında desteklenmiştir. Desteği için TÜBİTAK'a teşekkür ederiz.</w:t>
      </w:r>
    </w:p>
    <w:p w14:paraId="73EC73DE">
      <w:r>
        <w:br w:type="page"/>
      </w:r>
    </w:p>
    <w:p w14:paraId="312984C3">
      <w:pPr>
        <w:pStyle w:val="2"/>
        <w:jc w:val="center"/>
      </w:pPr>
      <w:bookmarkStart w:id="1" w:name="_Toc19322"/>
      <w:r>
        <w:rPr>
          <w:rFonts w:ascii="Arial" w:hAnsi="Arial"/>
          <w:b/>
          <w:sz w:val="22"/>
        </w:rPr>
        <w:t>İÇİNDEKİLER</w:t>
      </w:r>
      <w:bookmarkEnd w:id="1"/>
    </w:p>
    <w:p w14:paraId="114D8FC1">
      <w:pPr>
        <w:pStyle w:val="37"/>
        <w:tabs>
          <w:tab w:val="right" w:leader="dot" w:pos="9406"/>
        </w:tabs>
      </w:pPr>
      <w:r>
        <w:fldChar w:fldCharType="begin"/>
      </w:r>
      <w:r>
        <w:instrText xml:space="preserve"> TOC \o "1-3" \h \z \u </w:instrText>
      </w:r>
      <w:r>
        <w:fldChar w:fldCharType="separate"/>
      </w:r>
      <w:r>
        <w:fldChar w:fldCharType="begin"/>
      </w:r>
      <w:r>
        <w:instrText xml:space="preserve"> HYPERLINK \l _Toc10428 </w:instrText>
      </w:r>
      <w:r>
        <w:fldChar w:fldCharType="separate"/>
      </w:r>
      <w:r>
        <w:rPr>
          <w:rFonts w:ascii="Arial" w:hAnsi="Arial"/>
        </w:rPr>
        <w:t>ÖNSÖZ</w:t>
      </w:r>
      <w:r>
        <w:tab/>
      </w:r>
      <w:r>
        <w:fldChar w:fldCharType="begin"/>
      </w:r>
      <w:r>
        <w:instrText xml:space="preserve"> PAGEREF _Toc10428 \h </w:instrText>
      </w:r>
      <w:r>
        <w:fldChar w:fldCharType="separate"/>
      </w:r>
      <w:r>
        <w:t>i</w:t>
      </w:r>
      <w:r>
        <w:fldChar w:fldCharType="end"/>
      </w:r>
      <w:r>
        <w:fldChar w:fldCharType="end"/>
      </w:r>
    </w:p>
    <w:p w14:paraId="0B4BCF8E">
      <w:pPr>
        <w:pStyle w:val="37"/>
        <w:tabs>
          <w:tab w:val="right" w:leader="dot" w:pos="9406"/>
        </w:tabs>
      </w:pPr>
      <w:r>
        <w:fldChar w:fldCharType="begin"/>
      </w:r>
      <w:r>
        <w:instrText xml:space="preserve"> HYPERLINK \l _Toc19322 </w:instrText>
      </w:r>
      <w:r>
        <w:fldChar w:fldCharType="separate"/>
      </w:r>
      <w:r>
        <w:rPr>
          <w:rFonts w:ascii="Arial" w:hAnsi="Arial"/>
        </w:rPr>
        <w:t>İÇİNDEKİLER</w:t>
      </w:r>
      <w:r>
        <w:tab/>
      </w:r>
      <w:r>
        <w:fldChar w:fldCharType="begin"/>
      </w:r>
      <w:r>
        <w:instrText xml:space="preserve"> PAGEREF _Toc19322 \h </w:instrText>
      </w:r>
      <w:r>
        <w:fldChar w:fldCharType="separate"/>
      </w:r>
      <w:r>
        <w:t>ii</w:t>
      </w:r>
      <w:r>
        <w:fldChar w:fldCharType="end"/>
      </w:r>
      <w:r>
        <w:fldChar w:fldCharType="end"/>
      </w:r>
    </w:p>
    <w:p w14:paraId="3882A556">
      <w:pPr>
        <w:pStyle w:val="37"/>
        <w:tabs>
          <w:tab w:val="right" w:leader="dot" w:pos="9406"/>
        </w:tabs>
      </w:pPr>
      <w:r>
        <w:fldChar w:fldCharType="begin"/>
      </w:r>
      <w:r>
        <w:instrText xml:space="preserve"> HYPERLINK \l _Toc14353 </w:instrText>
      </w:r>
      <w:r>
        <w:fldChar w:fldCharType="separate"/>
      </w:r>
      <w:r>
        <w:rPr>
          <w:rFonts w:ascii="Arial" w:hAnsi="Arial"/>
        </w:rPr>
        <w:t>TABLO LİSTESİ</w:t>
      </w:r>
      <w:r>
        <w:tab/>
      </w:r>
      <w:r>
        <w:fldChar w:fldCharType="begin"/>
      </w:r>
      <w:r>
        <w:instrText xml:space="preserve"> PAGEREF _Toc14353 \h </w:instrText>
      </w:r>
      <w:r>
        <w:fldChar w:fldCharType="separate"/>
      </w:r>
      <w:r>
        <w:t>iv</w:t>
      </w:r>
      <w:r>
        <w:fldChar w:fldCharType="end"/>
      </w:r>
      <w:r>
        <w:fldChar w:fldCharType="end"/>
      </w:r>
    </w:p>
    <w:p w14:paraId="555DFA6D">
      <w:pPr>
        <w:pStyle w:val="37"/>
        <w:tabs>
          <w:tab w:val="right" w:leader="dot" w:pos="9406"/>
        </w:tabs>
      </w:pPr>
      <w:r>
        <w:fldChar w:fldCharType="begin"/>
      </w:r>
      <w:r>
        <w:instrText xml:space="preserve"> HYPERLINK \l _Toc11273 </w:instrText>
      </w:r>
      <w:r>
        <w:fldChar w:fldCharType="separate"/>
      </w:r>
      <w:r>
        <w:rPr>
          <w:rFonts w:ascii="Arial" w:hAnsi="Arial"/>
        </w:rPr>
        <w:t>ŞEKİL LİSTESİ</w:t>
      </w:r>
      <w:r>
        <w:tab/>
      </w:r>
      <w:r>
        <w:fldChar w:fldCharType="begin"/>
      </w:r>
      <w:r>
        <w:instrText xml:space="preserve"> PAGEREF _Toc11273 \h </w:instrText>
      </w:r>
      <w:r>
        <w:fldChar w:fldCharType="separate"/>
      </w:r>
      <w:r>
        <w:t>v</w:t>
      </w:r>
      <w:r>
        <w:fldChar w:fldCharType="end"/>
      </w:r>
      <w:r>
        <w:fldChar w:fldCharType="end"/>
      </w:r>
    </w:p>
    <w:p w14:paraId="75E40F89">
      <w:pPr>
        <w:pStyle w:val="37"/>
        <w:tabs>
          <w:tab w:val="right" w:leader="dot" w:pos="9406"/>
        </w:tabs>
      </w:pPr>
      <w:r>
        <w:fldChar w:fldCharType="begin"/>
      </w:r>
      <w:r>
        <w:instrText xml:space="preserve"> HYPERLINK \l _Toc14933 </w:instrText>
      </w:r>
      <w:r>
        <w:fldChar w:fldCharType="separate"/>
      </w:r>
      <w:r>
        <w:rPr>
          <w:rFonts w:ascii="Arial" w:hAnsi="Arial"/>
        </w:rPr>
        <w:t>ÖZET</w:t>
      </w:r>
      <w:r>
        <w:tab/>
      </w:r>
      <w:r>
        <w:fldChar w:fldCharType="begin"/>
      </w:r>
      <w:r>
        <w:instrText xml:space="preserve"> PAGEREF _Toc14933 \h </w:instrText>
      </w:r>
      <w:r>
        <w:fldChar w:fldCharType="separate"/>
      </w:r>
      <w:r>
        <w:t>vi</w:t>
      </w:r>
      <w:r>
        <w:fldChar w:fldCharType="end"/>
      </w:r>
      <w:r>
        <w:fldChar w:fldCharType="end"/>
      </w:r>
    </w:p>
    <w:p w14:paraId="1F420AF3">
      <w:pPr>
        <w:pStyle w:val="37"/>
        <w:tabs>
          <w:tab w:val="right" w:leader="dot" w:pos="9406"/>
        </w:tabs>
      </w:pPr>
      <w:r>
        <w:fldChar w:fldCharType="begin"/>
      </w:r>
      <w:r>
        <w:instrText xml:space="preserve"> HYPERLINK \l _Toc19082 </w:instrText>
      </w:r>
      <w:r>
        <w:fldChar w:fldCharType="separate"/>
      </w:r>
      <w:r>
        <w:rPr>
          <w:rFonts w:ascii="Arial" w:hAnsi="Arial"/>
        </w:rPr>
        <w:t>ABSTRACT</w:t>
      </w:r>
      <w:r>
        <w:tab/>
      </w:r>
      <w:r>
        <w:fldChar w:fldCharType="begin"/>
      </w:r>
      <w:r>
        <w:instrText xml:space="preserve"> PAGEREF _Toc19082 \h </w:instrText>
      </w:r>
      <w:r>
        <w:fldChar w:fldCharType="separate"/>
      </w:r>
      <w:r>
        <w:t>vii</w:t>
      </w:r>
      <w:r>
        <w:fldChar w:fldCharType="end"/>
      </w:r>
      <w:r>
        <w:fldChar w:fldCharType="end"/>
      </w:r>
    </w:p>
    <w:p w14:paraId="5B9058C9">
      <w:pPr>
        <w:pStyle w:val="37"/>
        <w:tabs>
          <w:tab w:val="right" w:leader="dot" w:pos="9406"/>
        </w:tabs>
      </w:pPr>
      <w:r>
        <w:fldChar w:fldCharType="begin"/>
      </w:r>
      <w:r>
        <w:instrText xml:space="preserve"> HYPERLINK \l _Toc15250 </w:instrText>
      </w:r>
      <w:r>
        <w:fldChar w:fldCharType="separate"/>
      </w:r>
      <w:r>
        <w:rPr>
          <w:rFonts w:ascii="Arial" w:hAnsi="Arial"/>
        </w:rPr>
        <w:t>1. GİRİŞ</w:t>
      </w:r>
      <w:r>
        <w:tab/>
      </w:r>
      <w:r>
        <w:fldChar w:fldCharType="begin"/>
      </w:r>
      <w:r>
        <w:instrText xml:space="preserve"> PAGEREF _Toc15250 \h </w:instrText>
      </w:r>
      <w:r>
        <w:fldChar w:fldCharType="separate"/>
      </w:r>
      <w:r>
        <w:t>1</w:t>
      </w:r>
      <w:r>
        <w:fldChar w:fldCharType="end"/>
      </w:r>
      <w:r>
        <w:fldChar w:fldCharType="end"/>
      </w:r>
    </w:p>
    <w:p w14:paraId="162F405F">
      <w:pPr>
        <w:pStyle w:val="38"/>
        <w:tabs>
          <w:tab w:val="right" w:leader="dot" w:pos="9406"/>
        </w:tabs>
      </w:pPr>
      <w:r>
        <w:fldChar w:fldCharType="begin"/>
      </w:r>
      <w:r>
        <w:instrText xml:space="preserve"> HYPERLINK \l _Toc19122 </w:instrText>
      </w:r>
      <w:r>
        <w:fldChar w:fldCharType="separate"/>
      </w:r>
      <w:r>
        <w:rPr>
          <w:rFonts w:ascii="Arial" w:hAnsi="Arial"/>
        </w:rPr>
        <w:t>1.1 Projenin Amacı ve Kapsamı</w:t>
      </w:r>
      <w:r>
        <w:tab/>
      </w:r>
      <w:r>
        <w:fldChar w:fldCharType="begin"/>
      </w:r>
      <w:r>
        <w:instrText xml:space="preserve"> PAGEREF _Toc19122 \h </w:instrText>
      </w:r>
      <w:r>
        <w:fldChar w:fldCharType="separate"/>
      </w:r>
      <w:r>
        <w:t>1</w:t>
      </w:r>
      <w:r>
        <w:fldChar w:fldCharType="end"/>
      </w:r>
      <w:r>
        <w:fldChar w:fldCharType="end"/>
      </w:r>
    </w:p>
    <w:p w14:paraId="3058088F">
      <w:pPr>
        <w:pStyle w:val="38"/>
        <w:tabs>
          <w:tab w:val="right" w:leader="dot" w:pos="9406"/>
        </w:tabs>
      </w:pPr>
      <w:r>
        <w:fldChar w:fldCharType="begin"/>
      </w:r>
      <w:r>
        <w:instrText xml:space="preserve"> HYPERLINK \l _Toc24859 </w:instrText>
      </w:r>
      <w:r>
        <w:fldChar w:fldCharType="separate"/>
      </w:r>
      <w:r>
        <w:rPr>
          <w:rFonts w:ascii="Arial" w:hAnsi="Arial"/>
        </w:rPr>
        <w:t>1.2 Başlangıç Hipotezi</w:t>
      </w:r>
      <w:r>
        <w:tab/>
      </w:r>
      <w:r>
        <w:fldChar w:fldCharType="begin"/>
      </w:r>
      <w:r>
        <w:instrText xml:space="preserve"> PAGEREF _Toc24859 \h </w:instrText>
      </w:r>
      <w:r>
        <w:fldChar w:fldCharType="separate"/>
      </w:r>
      <w:r>
        <w:t>2</w:t>
      </w:r>
      <w:r>
        <w:fldChar w:fldCharType="end"/>
      </w:r>
      <w:r>
        <w:fldChar w:fldCharType="end"/>
      </w:r>
    </w:p>
    <w:p w14:paraId="36182CA7">
      <w:pPr>
        <w:pStyle w:val="37"/>
        <w:tabs>
          <w:tab w:val="right" w:leader="dot" w:pos="9406"/>
        </w:tabs>
      </w:pPr>
      <w:r>
        <w:fldChar w:fldCharType="begin"/>
      </w:r>
      <w:r>
        <w:instrText xml:space="preserve"> HYPERLINK \l _Toc21301 </w:instrText>
      </w:r>
      <w:r>
        <w:fldChar w:fldCharType="separate"/>
      </w:r>
      <w:r>
        <w:rPr>
          <w:rFonts w:ascii="Arial" w:hAnsi="Arial"/>
        </w:rPr>
        <w:t>2. LİTERATÜR ÖZETİ</w:t>
      </w:r>
      <w:r>
        <w:tab/>
      </w:r>
      <w:r>
        <w:fldChar w:fldCharType="begin"/>
      </w:r>
      <w:r>
        <w:instrText xml:space="preserve"> PAGEREF _Toc21301 \h </w:instrText>
      </w:r>
      <w:r>
        <w:fldChar w:fldCharType="separate"/>
      </w:r>
      <w:r>
        <w:t>2</w:t>
      </w:r>
      <w:r>
        <w:fldChar w:fldCharType="end"/>
      </w:r>
      <w:r>
        <w:fldChar w:fldCharType="end"/>
      </w:r>
    </w:p>
    <w:p w14:paraId="3AC33C95">
      <w:pPr>
        <w:pStyle w:val="38"/>
        <w:tabs>
          <w:tab w:val="right" w:leader="dot" w:pos="9406"/>
        </w:tabs>
      </w:pPr>
      <w:r>
        <w:fldChar w:fldCharType="begin"/>
      </w:r>
      <w:r>
        <w:instrText xml:space="preserve"> HYPERLINK \l _Toc6867 </w:instrText>
      </w:r>
      <w:r>
        <w:fldChar w:fldCharType="separate"/>
      </w:r>
      <w:r>
        <w:rPr>
          <w:rFonts w:ascii="Arial" w:hAnsi="Arial"/>
        </w:rPr>
        <w:t>2.1 Simülasyon Tabanlı Bina Enerjisi Optimizasyonu</w:t>
      </w:r>
      <w:r>
        <w:tab/>
      </w:r>
      <w:r>
        <w:fldChar w:fldCharType="begin"/>
      </w:r>
      <w:r>
        <w:instrText xml:space="preserve"> PAGEREF _Toc6867 \h </w:instrText>
      </w:r>
      <w:r>
        <w:fldChar w:fldCharType="separate"/>
      </w:r>
      <w:r>
        <w:t>2</w:t>
      </w:r>
      <w:r>
        <w:fldChar w:fldCharType="end"/>
      </w:r>
      <w:r>
        <w:fldChar w:fldCharType="end"/>
      </w:r>
    </w:p>
    <w:p w14:paraId="4198F074">
      <w:pPr>
        <w:pStyle w:val="38"/>
        <w:tabs>
          <w:tab w:val="right" w:leader="dot" w:pos="9406"/>
        </w:tabs>
      </w:pPr>
      <w:r>
        <w:fldChar w:fldCharType="begin"/>
      </w:r>
      <w:r>
        <w:instrText xml:space="preserve"> HYPERLINK \l _Toc28775 </w:instrText>
      </w:r>
      <w:r>
        <w:fldChar w:fldCharType="separate"/>
      </w:r>
      <w:r>
        <w:rPr>
          <w:rFonts w:ascii="Arial" w:hAnsi="Arial"/>
        </w:rPr>
        <w:t>2.2 Vekil Modeller</w:t>
      </w:r>
      <w:r>
        <w:tab/>
      </w:r>
      <w:r>
        <w:fldChar w:fldCharType="begin"/>
      </w:r>
      <w:r>
        <w:instrText xml:space="preserve"> PAGEREF _Toc28775 \h </w:instrText>
      </w:r>
      <w:r>
        <w:fldChar w:fldCharType="separate"/>
      </w:r>
      <w:r>
        <w:t>2</w:t>
      </w:r>
      <w:r>
        <w:fldChar w:fldCharType="end"/>
      </w:r>
      <w:r>
        <w:fldChar w:fldCharType="end"/>
      </w:r>
    </w:p>
    <w:p w14:paraId="26642071">
      <w:pPr>
        <w:pStyle w:val="38"/>
        <w:tabs>
          <w:tab w:val="right" w:leader="dot" w:pos="9406"/>
        </w:tabs>
      </w:pPr>
      <w:r>
        <w:fldChar w:fldCharType="begin"/>
      </w:r>
      <w:r>
        <w:instrText xml:space="preserve"> HYPERLINK \l _Toc6101 </w:instrText>
      </w:r>
      <w:r>
        <w:fldChar w:fldCharType="separate"/>
      </w:r>
      <w:r>
        <w:rPr>
          <w:rFonts w:ascii="Arial" w:hAnsi="Arial"/>
        </w:rPr>
        <w:t>2.3 Duyarlılık Analizi</w:t>
      </w:r>
      <w:r>
        <w:tab/>
      </w:r>
      <w:r>
        <w:fldChar w:fldCharType="begin"/>
      </w:r>
      <w:r>
        <w:instrText xml:space="preserve"> PAGEREF _Toc6101 \h </w:instrText>
      </w:r>
      <w:r>
        <w:fldChar w:fldCharType="separate"/>
      </w:r>
      <w:r>
        <w:t>3</w:t>
      </w:r>
      <w:r>
        <w:fldChar w:fldCharType="end"/>
      </w:r>
      <w:r>
        <w:fldChar w:fldCharType="end"/>
      </w:r>
    </w:p>
    <w:p w14:paraId="1D083A69">
      <w:pPr>
        <w:pStyle w:val="38"/>
        <w:tabs>
          <w:tab w:val="right" w:leader="dot" w:pos="9406"/>
        </w:tabs>
      </w:pPr>
      <w:r>
        <w:fldChar w:fldCharType="begin"/>
      </w:r>
      <w:r>
        <w:instrText xml:space="preserve"> HYPERLINK \l _Toc24763 </w:instrText>
      </w:r>
      <w:r>
        <w:fldChar w:fldCharType="separate"/>
      </w:r>
      <w:r>
        <w:rPr>
          <w:rFonts w:ascii="Arial" w:hAnsi="Arial"/>
        </w:rPr>
        <w:t>2.4 Standartlar ve Doğruluk Ölçütleri</w:t>
      </w:r>
      <w:r>
        <w:tab/>
      </w:r>
      <w:r>
        <w:fldChar w:fldCharType="begin"/>
      </w:r>
      <w:r>
        <w:instrText xml:space="preserve"> PAGEREF _Toc24763 \h </w:instrText>
      </w:r>
      <w:r>
        <w:fldChar w:fldCharType="separate"/>
      </w:r>
      <w:r>
        <w:t>3</w:t>
      </w:r>
      <w:r>
        <w:fldChar w:fldCharType="end"/>
      </w:r>
      <w:r>
        <w:fldChar w:fldCharType="end"/>
      </w:r>
    </w:p>
    <w:p w14:paraId="6FEFF437">
      <w:pPr>
        <w:pStyle w:val="38"/>
        <w:tabs>
          <w:tab w:val="right" w:leader="dot" w:pos="9406"/>
        </w:tabs>
      </w:pPr>
      <w:r>
        <w:fldChar w:fldCharType="begin"/>
      </w:r>
      <w:r>
        <w:instrText xml:space="preserve"> HYPERLINK \l _Toc24935 </w:instrText>
      </w:r>
      <w:r>
        <w:fldChar w:fldCharType="separate"/>
      </w:r>
      <w:r>
        <w:rPr>
          <w:rFonts w:ascii="Arial" w:hAnsi="Arial"/>
        </w:rPr>
        <w:t>2.5 Literatürdeki Boşluk</w:t>
      </w:r>
      <w:r>
        <w:tab/>
      </w:r>
      <w:r>
        <w:fldChar w:fldCharType="begin"/>
      </w:r>
      <w:r>
        <w:instrText xml:space="preserve"> PAGEREF _Toc24935 \h </w:instrText>
      </w:r>
      <w:r>
        <w:fldChar w:fldCharType="separate"/>
      </w:r>
      <w:r>
        <w:t>3</w:t>
      </w:r>
      <w:r>
        <w:fldChar w:fldCharType="end"/>
      </w:r>
      <w:r>
        <w:fldChar w:fldCharType="end"/>
      </w:r>
    </w:p>
    <w:p w14:paraId="2482358B">
      <w:pPr>
        <w:pStyle w:val="37"/>
        <w:tabs>
          <w:tab w:val="right" w:leader="dot" w:pos="9406"/>
        </w:tabs>
      </w:pPr>
      <w:r>
        <w:fldChar w:fldCharType="begin"/>
      </w:r>
      <w:r>
        <w:instrText xml:space="preserve"> HYPERLINK \l _Toc17024 </w:instrText>
      </w:r>
      <w:r>
        <w:fldChar w:fldCharType="separate"/>
      </w:r>
      <w:r>
        <w:rPr>
          <w:rFonts w:ascii="Arial" w:hAnsi="Arial"/>
        </w:rPr>
        <w:t>3. GEREÇ VE YÖNTEM</w:t>
      </w:r>
      <w:r>
        <w:tab/>
      </w:r>
      <w:r>
        <w:fldChar w:fldCharType="begin"/>
      </w:r>
      <w:r>
        <w:instrText xml:space="preserve"> PAGEREF _Toc17024 \h </w:instrText>
      </w:r>
      <w:r>
        <w:fldChar w:fldCharType="separate"/>
      </w:r>
      <w:r>
        <w:t>4</w:t>
      </w:r>
      <w:r>
        <w:fldChar w:fldCharType="end"/>
      </w:r>
      <w:r>
        <w:fldChar w:fldCharType="end"/>
      </w:r>
    </w:p>
    <w:p w14:paraId="6613E4FA">
      <w:pPr>
        <w:pStyle w:val="38"/>
        <w:tabs>
          <w:tab w:val="right" w:leader="dot" w:pos="9406"/>
        </w:tabs>
      </w:pPr>
      <w:r>
        <w:fldChar w:fldCharType="begin"/>
      </w:r>
      <w:r>
        <w:instrText xml:space="preserve"> HYPERLINK \l _Toc22092 </w:instrText>
      </w:r>
      <w:r>
        <w:fldChar w:fldCharType="separate"/>
      </w:r>
      <w:r>
        <w:rPr>
          <w:rFonts w:ascii="Arial" w:hAnsi="Arial"/>
        </w:rPr>
        <w:t>3.1 Bina ve Simülasyon Modeli</w:t>
      </w:r>
      <w:r>
        <w:tab/>
      </w:r>
      <w:r>
        <w:fldChar w:fldCharType="begin"/>
      </w:r>
      <w:r>
        <w:instrText xml:space="preserve"> PAGEREF _Toc22092 \h </w:instrText>
      </w:r>
      <w:r>
        <w:fldChar w:fldCharType="separate"/>
      </w:r>
      <w:r>
        <w:t>4</w:t>
      </w:r>
      <w:r>
        <w:fldChar w:fldCharType="end"/>
      </w:r>
      <w:r>
        <w:fldChar w:fldCharType="end"/>
      </w:r>
    </w:p>
    <w:p w14:paraId="6CE7DB9B">
      <w:pPr>
        <w:pStyle w:val="38"/>
        <w:tabs>
          <w:tab w:val="right" w:leader="dot" w:pos="9406"/>
        </w:tabs>
      </w:pPr>
      <w:r>
        <w:fldChar w:fldCharType="begin"/>
      </w:r>
      <w:r>
        <w:instrText xml:space="preserve"> HYPERLINK \l _Toc5199 </w:instrText>
      </w:r>
      <w:r>
        <w:fldChar w:fldCharType="separate"/>
      </w:r>
      <w:r>
        <w:rPr>
          <w:rFonts w:ascii="Arial" w:hAnsi="Arial"/>
        </w:rPr>
        <w:t>3.2 Model Onarımı ve Taban Çizgisinin Belirlenmesi</w:t>
      </w:r>
      <w:r>
        <w:tab/>
      </w:r>
      <w:r>
        <w:fldChar w:fldCharType="begin"/>
      </w:r>
      <w:r>
        <w:instrText xml:space="preserve"> PAGEREF _Toc5199 \h </w:instrText>
      </w:r>
      <w:r>
        <w:fldChar w:fldCharType="separate"/>
      </w:r>
      <w:r>
        <w:t>4</w:t>
      </w:r>
      <w:r>
        <w:fldChar w:fldCharType="end"/>
      </w:r>
      <w:r>
        <w:fldChar w:fldCharType="end"/>
      </w:r>
    </w:p>
    <w:p w14:paraId="1F4A2B45">
      <w:pPr>
        <w:pStyle w:val="38"/>
        <w:tabs>
          <w:tab w:val="right" w:leader="dot" w:pos="9406"/>
        </w:tabs>
      </w:pPr>
      <w:r>
        <w:fldChar w:fldCharType="begin"/>
      </w:r>
      <w:r>
        <w:instrText xml:space="preserve"> HYPERLINK \l _Toc20989 </w:instrText>
      </w:r>
      <w:r>
        <w:fldChar w:fldCharType="separate"/>
      </w:r>
      <w:r>
        <w:rPr>
          <w:rFonts w:ascii="Arial" w:hAnsi="Arial"/>
        </w:rPr>
        <w:t>3.3 Karar Değişkenleri ve Tasarım Uzayı</w:t>
      </w:r>
      <w:r>
        <w:tab/>
      </w:r>
      <w:r>
        <w:fldChar w:fldCharType="begin"/>
      </w:r>
      <w:r>
        <w:instrText xml:space="preserve"> PAGEREF _Toc20989 \h </w:instrText>
      </w:r>
      <w:r>
        <w:fldChar w:fldCharType="separate"/>
      </w:r>
      <w:r>
        <w:t>5</w:t>
      </w:r>
      <w:r>
        <w:fldChar w:fldCharType="end"/>
      </w:r>
      <w:r>
        <w:fldChar w:fldCharType="end"/>
      </w:r>
    </w:p>
    <w:p w14:paraId="2E731F7D">
      <w:pPr>
        <w:pStyle w:val="38"/>
        <w:tabs>
          <w:tab w:val="right" w:leader="dot" w:pos="9406"/>
        </w:tabs>
      </w:pPr>
      <w:r>
        <w:fldChar w:fldCharType="begin"/>
      </w:r>
      <w:r>
        <w:instrText xml:space="preserve"> HYPERLINK \l _Toc17917 </w:instrText>
      </w:r>
      <w:r>
        <w:fldChar w:fldCharType="separate"/>
      </w:r>
      <w:r>
        <w:rPr>
          <w:rFonts w:ascii="Arial" w:hAnsi="Arial"/>
        </w:rPr>
        <w:t>3.4 Deney Tasarımı</w:t>
      </w:r>
      <w:r>
        <w:tab/>
      </w:r>
      <w:r>
        <w:fldChar w:fldCharType="begin"/>
      </w:r>
      <w:r>
        <w:instrText xml:space="preserve"> PAGEREF _Toc17917 \h </w:instrText>
      </w:r>
      <w:r>
        <w:fldChar w:fldCharType="separate"/>
      </w:r>
      <w:r>
        <w:t>5</w:t>
      </w:r>
      <w:r>
        <w:fldChar w:fldCharType="end"/>
      </w:r>
      <w:r>
        <w:fldChar w:fldCharType="end"/>
      </w:r>
    </w:p>
    <w:p w14:paraId="6BC2D84A">
      <w:pPr>
        <w:pStyle w:val="38"/>
        <w:tabs>
          <w:tab w:val="right" w:leader="dot" w:pos="9406"/>
        </w:tabs>
      </w:pPr>
      <w:r>
        <w:fldChar w:fldCharType="begin"/>
      </w:r>
      <w:r>
        <w:instrText xml:space="preserve"> HYPERLINK \l _Toc26192 </w:instrText>
      </w:r>
      <w:r>
        <w:fldChar w:fldCharType="separate"/>
      </w:r>
      <w:r>
        <w:rPr>
          <w:rFonts w:ascii="Arial" w:hAnsi="Arial"/>
        </w:rPr>
        <w:t>3.5 Vekil Model Kurulumu</w:t>
      </w:r>
      <w:r>
        <w:tab/>
      </w:r>
      <w:r>
        <w:fldChar w:fldCharType="begin"/>
      </w:r>
      <w:r>
        <w:instrText xml:space="preserve"> PAGEREF _Toc26192 \h </w:instrText>
      </w:r>
      <w:r>
        <w:fldChar w:fldCharType="separate"/>
      </w:r>
      <w:r>
        <w:t>6</w:t>
      </w:r>
      <w:r>
        <w:fldChar w:fldCharType="end"/>
      </w:r>
      <w:r>
        <w:fldChar w:fldCharType="end"/>
      </w:r>
    </w:p>
    <w:p w14:paraId="3290B24B">
      <w:pPr>
        <w:pStyle w:val="38"/>
        <w:tabs>
          <w:tab w:val="right" w:leader="dot" w:pos="9406"/>
        </w:tabs>
      </w:pPr>
      <w:r>
        <w:fldChar w:fldCharType="begin"/>
      </w:r>
      <w:r>
        <w:instrText xml:space="preserve"> HYPERLINK \l _Toc17939 </w:instrText>
      </w:r>
      <w:r>
        <w:fldChar w:fldCharType="separate"/>
      </w:r>
      <w:r>
        <w:rPr>
          <w:rFonts w:ascii="Arial" w:hAnsi="Arial"/>
        </w:rPr>
        <w:t>3.6 Duyarlılık Analizi</w:t>
      </w:r>
      <w:r>
        <w:tab/>
      </w:r>
      <w:r>
        <w:fldChar w:fldCharType="begin"/>
      </w:r>
      <w:r>
        <w:instrText xml:space="preserve"> PAGEREF _Toc17939 \h </w:instrText>
      </w:r>
      <w:r>
        <w:fldChar w:fldCharType="separate"/>
      </w:r>
      <w:r>
        <w:t>6</w:t>
      </w:r>
      <w:r>
        <w:fldChar w:fldCharType="end"/>
      </w:r>
      <w:r>
        <w:fldChar w:fldCharType="end"/>
      </w:r>
    </w:p>
    <w:p w14:paraId="68D79B56">
      <w:pPr>
        <w:pStyle w:val="38"/>
        <w:tabs>
          <w:tab w:val="right" w:leader="dot" w:pos="9406"/>
        </w:tabs>
      </w:pPr>
      <w:r>
        <w:fldChar w:fldCharType="begin"/>
      </w:r>
      <w:r>
        <w:instrText xml:space="preserve"> HYPERLINK \l _Toc904 </w:instrText>
      </w:r>
      <w:r>
        <w:fldChar w:fldCharType="separate"/>
      </w:r>
      <w:r>
        <w:rPr>
          <w:rFonts w:ascii="Arial" w:hAnsi="Arial"/>
        </w:rPr>
        <w:t>3.7 ISO 50001 Çerçevesinin Uygulanması</w:t>
      </w:r>
      <w:r>
        <w:tab/>
      </w:r>
      <w:r>
        <w:fldChar w:fldCharType="begin"/>
      </w:r>
      <w:r>
        <w:instrText xml:space="preserve"> PAGEREF _Toc904 \h </w:instrText>
      </w:r>
      <w:r>
        <w:fldChar w:fldCharType="separate"/>
      </w:r>
      <w:r>
        <w:t>7</w:t>
      </w:r>
      <w:r>
        <w:fldChar w:fldCharType="end"/>
      </w:r>
      <w:r>
        <w:fldChar w:fldCharType="end"/>
      </w:r>
    </w:p>
    <w:p w14:paraId="4497653F">
      <w:pPr>
        <w:pStyle w:val="38"/>
        <w:tabs>
          <w:tab w:val="right" w:leader="dot" w:pos="9406"/>
        </w:tabs>
      </w:pPr>
      <w:r>
        <w:fldChar w:fldCharType="begin"/>
      </w:r>
      <w:r>
        <w:instrText xml:space="preserve"> HYPERLINK \l _Toc6171 </w:instrText>
      </w:r>
      <w:r>
        <w:fldChar w:fldCharType="separate"/>
      </w:r>
      <w:r>
        <w:rPr>
          <w:rFonts w:ascii="Arial" w:hAnsi="Arial"/>
        </w:rPr>
        <w:t>3.8 Çok Amaçlı Optimizasyon</w:t>
      </w:r>
      <w:r>
        <w:tab/>
      </w:r>
      <w:r>
        <w:fldChar w:fldCharType="begin"/>
      </w:r>
      <w:r>
        <w:instrText xml:space="preserve"> PAGEREF _Toc6171 \h </w:instrText>
      </w:r>
      <w:r>
        <w:fldChar w:fldCharType="separate"/>
      </w:r>
      <w:r>
        <w:t>7</w:t>
      </w:r>
      <w:r>
        <w:fldChar w:fldCharType="end"/>
      </w:r>
      <w:r>
        <w:fldChar w:fldCharType="end"/>
      </w:r>
    </w:p>
    <w:p w14:paraId="29178B5D">
      <w:pPr>
        <w:pStyle w:val="38"/>
        <w:tabs>
          <w:tab w:val="right" w:leader="dot" w:pos="9406"/>
        </w:tabs>
      </w:pPr>
      <w:r>
        <w:fldChar w:fldCharType="begin"/>
      </w:r>
      <w:r>
        <w:instrText xml:space="preserve"> HYPERLINK \l _Toc2555 </w:instrText>
      </w:r>
      <w:r>
        <w:fldChar w:fldCharType="separate"/>
      </w:r>
      <w:r>
        <w:rPr>
          <w:rFonts w:ascii="Arial" w:hAnsi="Arial"/>
        </w:rPr>
        <w:t>3.9 Doğrulama Protokolü</w:t>
      </w:r>
      <w:r>
        <w:tab/>
      </w:r>
      <w:r>
        <w:fldChar w:fldCharType="begin"/>
      </w:r>
      <w:r>
        <w:instrText xml:space="preserve"> PAGEREF _Toc2555 \h </w:instrText>
      </w:r>
      <w:r>
        <w:fldChar w:fldCharType="separate"/>
      </w:r>
      <w:r>
        <w:t>8</w:t>
      </w:r>
      <w:r>
        <w:fldChar w:fldCharType="end"/>
      </w:r>
      <w:r>
        <w:fldChar w:fldCharType="end"/>
      </w:r>
    </w:p>
    <w:p w14:paraId="30DFFA0E">
      <w:pPr>
        <w:pStyle w:val="38"/>
        <w:tabs>
          <w:tab w:val="right" w:leader="dot" w:pos="9406"/>
        </w:tabs>
      </w:pPr>
      <w:r>
        <w:fldChar w:fldCharType="begin"/>
      </w:r>
      <w:r>
        <w:instrText xml:space="preserve"> HYPERLINK \l _Toc8771 </w:instrText>
      </w:r>
      <w:r>
        <w:fldChar w:fldCharType="separate"/>
      </w:r>
      <w:r>
        <w:rPr>
          <w:rFonts w:ascii="Arial" w:hAnsi="Arial"/>
        </w:rPr>
        <w:t>3.10 Yazılım Aracı ve Kullanıcı Arayüzü</w:t>
      </w:r>
      <w:r>
        <w:tab/>
      </w:r>
      <w:r>
        <w:fldChar w:fldCharType="begin"/>
      </w:r>
      <w:r>
        <w:instrText xml:space="preserve"> PAGEREF _Toc8771 \h </w:instrText>
      </w:r>
      <w:r>
        <w:fldChar w:fldCharType="separate"/>
      </w:r>
      <w:r>
        <w:t>8</w:t>
      </w:r>
      <w:r>
        <w:fldChar w:fldCharType="end"/>
      </w:r>
      <w:r>
        <w:fldChar w:fldCharType="end"/>
      </w:r>
    </w:p>
    <w:p w14:paraId="2C8F0EAC">
      <w:pPr>
        <w:pStyle w:val="37"/>
        <w:tabs>
          <w:tab w:val="right" w:leader="dot" w:pos="9406"/>
        </w:tabs>
      </w:pPr>
      <w:r>
        <w:fldChar w:fldCharType="begin"/>
      </w:r>
      <w:r>
        <w:instrText xml:space="preserve"> HYPERLINK \l _Toc22942 </w:instrText>
      </w:r>
      <w:r>
        <w:fldChar w:fldCharType="separate"/>
      </w:r>
      <w:r>
        <w:rPr>
          <w:rFonts w:ascii="Arial" w:hAnsi="Arial"/>
        </w:rPr>
        <w:t>4. BULGULAR</w:t>
      </w:r>
      <w:r>
        <w:tab/>
      </w:r>
      <w:r>
        <w:fldChar w:fldCharType="begin"/>
      </w:r>
      <w:r>
        <w:instrText xml:space="preserve"> PAGEREF _Toc22942 \h </w:instrText>
      </w:r>
      <w:r>
        <w:fldChar w:fldCharType="separate"/>
      </w:r>
      <w:r>
        <w:t>12</w:t>
      </w:r>
      <w:r>
        <w:fldChar w:fldCharType="end"/>
      </w:r>
      <w:r>
        <w:fldChar w:fldCharType="end"/>
      </w:r>
    </w:p>
    <w:p w14:paraId="250361A5">
      <w:pPr>
        <w:pStyle w:val="38"/>
        <w:tabs>
          <w:tab w:val="right" w:leader="dot" w:pos="9406"/>
        </w:tabs>
      </w:pPr>
      <w:r>
        <w:fldChar w:fldCharType="begin"/>
      </w:r>
      <w:r>
        <w:instrText xml:space="preserve"> HYPERLINK \l _Toc5413 </w:instrText>
      </w:r>
      <w:r>
        <w:fldChar w:fldCharType="separate"/>
      </w:r>
      <w:r>
        <w:rPr>
          <w:rFonts w:ascii="Arial" w:hAnsi="Arial"/>
        </w:rPr>
        <w:t>4.1 Model Onarımının Ölçülen Etkisi</w:t>
      </w:r>
      <w:r>
        <w:tab/>
      </w:r>
      <w:r>
        <w:fldChar w:fldCharType="begin"/>
      </w:r>
      <w:r>
        <w:instrText xml:space="preserve"> PAGEREF _Toc5413 \h </w:instrText>
      </w:r>
      <w:r>
        <w:fldChar w:fldCharType="separate"/>
      </w:r>
      <w:r>
        <w:t>12</w:t>
      </w:r>
      <w:r>
        <w:fldChar w:fldCharType="end"/>
      </w:r>
      <w:r>
        <w:fldChar w:fldCharType="end"/>
      </w:r>
    </w:p>
    <w:p w14:paraId="137EB9B7">
      <w:pPr>
        <w:pStyle w:val="38"/>
        <w:tabs>
          <w:tab w:val="right" w:leader="dot" w:pos="9406"/>
        </w:tabs>
      </w:pPr>
      <w:r>
        <w:fldChar w:fldCharType="begin"/>
      </w:r>
      <w:r>
        <w:instrText xml:space="preserve"> HYPERLINK \l _Toc22330 </w:instrText>
      </w:r>
      <w:r>
        <w:fldChar w:fldCharType="separate"/>
      </w:r>
      <w:r>
        <w:rPr>
          <w:rFonts w:ascii="Arial" w:hAnsi="Arial"/>
        </w:rPr>
        <w:t>4.2 Duyarlılık Analizi</w:t>
      </w:r>
      <w:r>
        <w:tab/>
      </w:r>
      <w:r>
        <w:fldChar w:fldCharType="begin"/>
      </w:r>
      <w:r>
        <w:instrText xml:space="preserve"> PAGEREF _Toc22330 \h </w:instrText>
      </w:r>
      <w:r>
        <w:fldChar w:fldCharType="separate"/>
      </w:r>
      <w:r>
        <w:t>13</w:t>
      </w:r>
      <w:r>
        <w:fldChar w:fldCharType="end"/>
      </w:r>
      <w:r>
        <w:fldChar w:fldCharType="end"/>
      </w:r>
    </w:p>
    <w:p w14:paraId="3EC7EA60">
      <w:pPr>
        <w:pStyle w:val="38"/>
        <w:tabs>
          <w:tab w:val="right" w:leader="dot" w:pos="9406"/>
        </w:tabs>
      </w:pPr>
      <w:r>
        <w:fldChar w:fldCharType="begin"/>
      </w:r>
      <w:r>
        <w:instrText xml:space="preserve"> HYPERLINK \l _Toc9904 </w:instrText>
      </w:r>
      <w:r>
        <w:fldChar w:fldCharType="separate"/>
      </w:r>
      <w:r>
        <w:rPr>
          <w:rFonts w:ascii="Arial" w:hAnsi="Arial"/>
        </w:rPr>
        <w:t>4.3 ISO 50001 Göstergeleri ve Önemli Enerji Kullanımları</w:t>
      </w:r>
      <w:r>
        <w:tab/>
      </w:r>
      <w:r>
        <w:fldChar w:fldCharType="begin"/>
      </w:r>
      <w:r>
        <w:instrText xml:space="preserve"> PAGEREF _Toc9904 \h </w:instrText>
      </w:r>
      <w:r>
        <w:fldChar w:fldCharType="separate"/>
      </w:r>
      <w:r>
        <w:t>14</w:t>
      </w:r>
      <w:r>
        <w:fldChar w:fldCharType="end"/>
      </w:r>
      <w:r>
        <w:fldChar w:fldCharType="end"/>
      </w:r>
    </w:p>
    <w:p w14:paraId="70337A5F">
      <w:pPr>
        <w:pStyle w:val="38"/>
        <w:tabs>
          <w:tab w:val="right" w:leader="dot" w:pos="9406"/>
        </w:tabs>
      </w:pPr>
      <w:r>
        <w:fldChar w:fldCharType="begin"/>
      </w:r>
      <w:r>
        <w:instrText xml:space="preserve"> HYPERLINK \l _Toc23582 </w:instrText>
      </w:r>
      <w:r>
        <w:fldChar w:fldCharType="separate"/>
      </w:r>
      <w:r>
        <w:rPr>
          <w:rFonts w:ascii="Arial" w:hAnsi="Arial"/>
        </w:rPr>
        <w:t>4.4 Vekil Model Doğruluğu</w:t>
      </w:r>
      <w:r>
        <w:tab/>
      </w:r>
      <w:r>
        <w:fldChar w:fldCharType="begin"/>
      </w:r>
      <w:r>
        <w:instrText xml:space="preserve"> PAGEREF _Toc23582 \h </w:instrText>
      </w:r>
      <w:r>
        <w:fldChar w:fldCharType="separate"/>
      </w:r>
      <w:r>
        <w:t>15</w:t>
      </w:r>
      <w:r>
        <w:fldChar w:fldCharType="end"/>
      </w:r>
      <w:r>
        <w:fldChar w:fldCharType="end"/>
      </w:r>
    </w:p>
    <w:p w14:paraId="57B4D3EE">
      <w:pPr>
        <w:pStyle w:val="38"/>
        <w:tabs>
          <w:tab w:val="right" w:leader="dot" w:pos="9406"/>
        </w:tabs>
      </w:pPr>
      <w:r>
        <w:fldChar w:fldCharType="begin"/>
      </w:r>
      <w:r>
        <w:instrText xml:space="preserve"> HYPERLINK \l _Toc24973 </w:instrText>
      </w:r>
      <w:r>
        <w:fldChar w:fldCharType="separate"/>
      </w:r>
      <w:r>
        <w:rPr>
          <w:rFonts w:ascii="Arial" w:hAnsi="Arial"/>
        </w:rPr>
        <w:t>4.5 Pareto Cephesi</w:t>
      </w:r>
      <w:r>
        <w:tab/>
      </w:r>
      <w:r>
        <w:fldChar w:fldCharType="begin"/>
      </w:r>
      <w:r>
        <w:instrText xml:space="preserve"> PAGEREF _Toc24973 \h </w:instrText>
      </w:r>
      <w:r>
        <w:fldChar w:fldCharType="separate"/>
      </w:r>
      <w:r>
        <w:t>16</w:t>
      </w:r>
      <w:r>
        <w:fldChar w:fldCharType="end"/>
      </w:r>
      <w:r>
        <w:fldChar w:fldCharType="end"/>
      </w:r>
    </w:p>
    <w:p w14:paraId="79DB4678">
      <w:pPr>
        <w:pStyle w:val="38"/>
        <w:tabs>
          <w:tab w:val="right" w:leader="dot" w:pos="9406"/>
        </w:tabs>
      </w:pPr>
      <w:r>
        <w:fldChar w:fldCharType="begin"/>
      </w:r>
      <w:r>
        <w:instrText xml:space="preserve"> HYPERLINK \l _Toc27784 </w:instrText>
      </w:r>
      <w:r>
        <w:fldChar w:fldCharType="separate"/>
      </w:r>
      <w:r>
        <w:rPr>
          <w:rFonts w:ascii="Arial" w:hAnsi="Arial"/>
        </w:rPr>
        <w:t>4.6 Sayısal Doğrulama</w:t>
      </w:r>
      <w:r>
        <w:tab/>
      </w:r>
      <w:r>
        <w:fldChar w:fldCharType="begin"/>
      </w:r>
      <w:r>
        <w:instrText xml:space="preserve"> PAGEREF _Toc27784 \h </w:instrText>
      </w:r>
      <w:r>
        <w:fldChar w:fldCharType="separate"/>
      </w:r>
      <w:r>
        <w:t>17</w:t>
      </w:r>
      <w:r>
        <w:fldChar w:fldCharType="end"/>
      </w:r>
      <w:r>
        <w:fldChar w:fldCharType="end"/>
      </w:r>
    </w:p>
    <w:p w14:paraId="2D00995A">
      <w:pPr>
        <w:pStyle w:val="38"/>
        <w:tabs>
          <w:tab w:val="right" w:leader="dot" w:pos="9406"/>
        </w:tabs>
      </w:pPr>
      <w:r>
        <w:fldChar w:fldCharType="begin"/>
      </w:r>
      <w:r>
        <w:instrText xml:space="preserve"> HYPERLINK \l _Toc5233 </w:instrText>
      </w:r>
      <w:r>
        <w:fldChar w:fldCharType="separate"/>
      </w:r>
      <w:r>
        <w:rPr>
          <w:rFonts w:ascii="Arial" w:hAnsi="Arial"/>
        </w:rPr>
        <w:t>4.7 Sonuçların Arayüzde Sunumu</w:t>
      </w:r>
      <w:r>
        <w:tab/>
      </w:r>
      <w:r>
        <w:fldChar w:fldCharType="begin"/>
      </w:r>
      <w:r>
        <w:instrText xml:space="preserve"> PAGEREF _Toc5233 \h </w:instrText>
      </w:r>
      <w:r>
        <w:fldChar w:fldCharType="separate"/>
      </w:r>
      <w:r>
        <w:t>19</w:t>
      </w:r>
      <w:r>
        <w:fldChar w:fldCharType="end"/>
      </w:r>
      <w:r>
        <w:fldChar w:fldCharType="end"/>
      </w:r>
    </w:p>
    <w:p w14:paraId="4F5CA68C">
      <w:pPr>
        <w:pStyle w:val="37"/>
        <w:tabs>
          <w:tab w:val="right" w:leader="dot" w:pos="9406"/>
        </w:tabs>
      </w:pPr>
      <w:r>
        <w:fldChar w:fldCharType="begin"/>
      </w:r>
      <w:r>
        <w:instrText xml:space="preserve"> HYPERLINK \l _Toc12822 </w:instrText>
      </w:r>
      <w:r>
        <w:fldChar w:fldCharType="separate"/>
      </w:r>
      <w:r>
        <w:rPr>
          <w:rFonts w:ascii="Arial" w:hAnsi="Arial"/>
        </w:rPr>
        <w:t>5. TARTIŞMA</w:t>
      </w:r>
      <w:r>
        <w:tab/>
      </w:r>
      <w:r>
        <w:fldChar w:fldCharType="begin"/>
      </w:r>
      <w:r>
        <w:instrText xml:space="preserve"> PAGEREF _Toc12822 \h </w:instrText>
      </w:r>
      <w:r>
        <w:fldChar w:fldCharType="separate"/>
      </w:r>
      <w:r>
        <w:t>23</w:t>
      </w:r>
      <w:r>
        <w:fldChar w:fldCharType="end"/>
      </w:r>
      <w:r>
        <w:fldChar w:fldCharType="end"/>
      </w:r>
    </w:p>
    <w:p w14:paraId="0D4B02BD">
      <w:pPr>
        <w:pStyle w:val="38"/>
        <w:tabs>
          <w:tab w:val="right" w:leader="dot" w:pos="9406"/>
        </w:tabs>
      </w:pPr>
      <w:r>
        <w:fldChar w:fldCharType="begin"/>
      </w:r>
      <w:r>
        <w:instrText xml:space="preserve"> HYPERLINK \l _Toc2363 </w:instrText>
      </w:r>
      <w:r>
        <w:fldChar w:fldCharType="separate"/>
      </w:r>
      <w:r>
        <w:rPr>
          <w:rFonts w:ascii="Arial" w:hAnsi="Arial"/>
        </w:rPr>
        <w:t>5.1 Başlangıç Hipotezinin Reddi</w:t>
      </w:r>
      <w:r>
        <w:tab/>
      </w:r>
      <w:r>
        <w:fldChar w:fldCharType="begin"/>
      </w:r>
      <w:r>
        <w:instrText xml:space="preserve"> PAGEREF _Toc2363 \h </w:instrText>
      </w:r>
      <w:r>
        <w:fldChar w:fldCharType="separate"/>
      </w:r>
      <w:r>
        <w:t>23</w:t>
      </w:r>
      <w:r>
        <w:fldChar w:fldCharType="end"/>
      </w:r>
      <w:r>
        <w:fldChar w:fldCharType="end"/>
      </w:r>
    </w:p>
    <w:p w14:paraId="482203A3">
      <w:pPr>
        <w:pStyle w:val="38"/>
        <w:tabs>
          <w:tab w:val="right" w:leader="dot" w:pos="9406"/>
        </w:tabs>
      </w:pPr>
      <w:r>
        <w:fldChar w:fldCharType="begin"/>
      </w:r>
      <w:r>
        <w:instrText xml:space="preserve"> HYPERLINK \l _Toc25341 </w:instrText>
      </w:r>
      <w:r>
        <w:fldChar w:fldCharType="separate"/>
      </w:r>
      <w:r>
        <w:rPr>
          <w:rFonts w:ascii="Arial" w:hAnsi="Arial"/>
        </w:rPr>
        <w:t>5.2 Optimizasyonun Vekil Model Hatasını Sömürmesi</w:t>
      </w:r>
      <w:r>
        <w:tab/>
      </w:r>
      <w:r>
        <w:fldChar w:fldCharType="begin"/>
      </w:r>
      <w:r>
        <w:instrText xml:space="preserve"> PAGEREF _Toc25341 \h </w:instrText>
      </w:r>
      <w:r>
        <w:fldChar w:fldCharType="separate"/>
      </w:r>
      <w:r>
        <w:t>24</w:t>
      </w:r>
      <w:r>
        <w:fldChar w:fldCharType="end"/>
      </w:r>
      <w:r>
        <w:fldChar w:fldCharType="end"/>
      </w:r>
    </w:p>
    <w:p w14:paraId="3953A7AB">
      <w:pPr>
        <w:pStyle w:val="38"/>
        <w:tabs>
          <w:tab w:val="right" w:leader="dot" w:pos="9406"/>
        </w:tabs>
      </w:pPr>
      <w:r>
        <w:fldChar w:fldCharType="begin"/>
      </w:r>
      <w:r>
        <w:instrText xml:space="preserve"> HYPERLINK \l _Toc10709 </w:instrText>
      </w:r>
      <w:r>
        <w:fldChar w:fldCharType="separate"/>
      </w:r>
      <w:r>
        <w:rPr>
          <w:rFonts w:ascii="Arial" w:hAnsi="Arial"/>
        </w:rPr>
        <w:t>5.3 Sınırlılıklar</w:t>
      </w:r>
      <w:r>
        <w:tab/>
      </w:r>
      <w:r>
        <w:fldChar w:fldCharType="begin"/>
      </w:r>
      <w:r>
        <w:instrText xml:space="preserve"> PAGEREF _Toc10709 \h </w:instrText>
      </w:r>
      <w:r>
        <w:fldChar w:fldCharType="separate"/>
      </w:r>
      <w:r>
        <w:t>25</w:t>
      </w:r>
      <w:r>
        <w:fldChar w:fldCharType="end"/>
      </w:r>
      <w:r>
        <w:fldChar w:fldCharType="end"/>
      </w:r>
    </w:p>
    <w:p w14:paraId="7011A319">
      <w:pPr>
        <w:pStyle w:val="38"/>
        <w:tabs>
          <w:tab w:val="right" w:leader="dot" w:pos="9406"/>
        </w:tabs>
      </w:pPr>
      <w:r>
        <w:fldChar w:fldCharType="begin"/>
      </w:r>
      <w:r>
        <w:instrText xml:space="preserve"> HYPERLINK \l _Toc17380 </w:instrText>
      </w:r>
      <w:r>
        <w:fldChar w:fldCharType="separate"/>
      </w:r>
      <w:r>
        <w:rPr>
          <w:rFonts w:ascii="Arial" w:hAnsi="Arial"/>
        </w:rPr>
        <w:t>5.4 Kısıt Değerinde Bulunan Hata ve Etkisi</w:t>
      </w:r>
      <w:r>
        <w:tab/>
      </w:r>
      <w:r>
        <w:fldChar w:fldCharType="begin"/>
      </w:r>
      <w:r>
        <w:instrText xml:space="preserve"> PAGEREF _Toc17380 \h </w:instrText>
      </w:r>
      <w:r>
        <w:fldChar w:fldCharType="separate"/>
      </w:r>
      <w:r>
        <w:t>25</w:t>
      </w:r>
      <w:r>
        <w:fldChar w:fldCharType="end"/>
      </w:r>
      <w:r>
        <w:fldChar w:fldCharType="end"/>
      </w:r>
    </w:p>
    <w:p w14:paraId="4BC1F286">
      <w:pPr>
        <w:pStyle w:val="37"/>
        <w:tabs>
          <w:tab w:val="right" w:leader="dot" w:pos="9406"/>
        </w:tabs>
      </w:pPr>
      <w:r>
        <w:fldChar w:fldCharType="begin"/>
      </w:r>
      <w:r>
        <w:instrText xml:space="preserve"> HYPERLINK \l _Toc10533 </w:instrText>
      </w:r>
      <w:r>
        <w:fldChar w:fldCharType="separate"/>
      </w:r>
      <w:r>
        <w:rPr>
          <w:rFonts w:ascii="Arial" w:hAnsi="Arial"/>
        </w:rPr>
        <w:t>6. SONUÇ VE ÖNERİLER</w:t>
      </w:r>
      <w:r>
        <w:tab/>
      </w:r>
      <w:r>
        <w:fldChar w:fldCharType="begin"/>
      </w:r>
      <w:r>
        <w:instrText xml:space="preserve"> PAGEREF _Toc10533 \h </w:instrText>
      </w:r>
      <w:r>
        <w:fldChar w:fldCharType="separate"/>
      </w:r>
      <w:r>
        <w:t>26</w:t>
      </w:r>
      <w:r>
        <w:fldChar w:fldCharType="end"/>
      </w:r>
      <w:r>
        <w:fldChar w:fldCharType="end"/>
      </w:r>
    </w:p>
    <w:p w14:paraId="19D57587">
      <w:pPr>
        <w:pStyle w:val="38"/>
        <w:tabs>
          <w:tab w:val="right" w:leader="dot" w:pos="9406"/>
        </w:tabs>
      </w:pPr>
      <w:r>
        <w:fldChar w:fldCharType="begin"/>
      </w:r>
      <w:r>
        <w:instrText xml:space="preserve"> HYPERLINK \l _Toc8584 </w:instrText>
      </w:r>
      <w:r>
        <w:fldChar w:fldCharType="separate"/>
      </w:r>
      <w:r>
        <w:rPr>
          <w:rFonts w:ascii="Arial" w:hAnsi="Arial"/>
        </w:rPr>
        <w:t>6.1 Uygulamaya Yönelik Öneriler</w:t>
      </w:r>
      <w:r>
        <w:tab/>
      </w:r>
      <w:r>
        <w:fldChar w:fldCharType="begin"/>
      </w:r>
      <w:r>
        <w:instrText xml:space="preserve"> PAGEREF _Toc8584 \h </w:instrText>
      </w:r>
      <w:r>
        <w:fldChar w:fldCharType="separate"/>
      </w:r>
      <w:r>
        <w:t>27</w:t>
      </w:r>
      <w:r>
        <w:fldChar w:fldCharType="end"/>
      </w:r>
      <w:r>
        <w:fldChar w:fldCharType="end"/>
      </w:r>
    </w:p>
    <w:p w14:paraId="507861FB">
      <w:pPr>
        <w:pStyle w:val="38"/>
        <w:tabs>
          <w:tab w:val="right" w:leader="dot" w:pos="9406"/>
        </w:tabs>
      </w:pPr>
      <w:r>
        <w:fldChar w:fldCharType="begin"/>
      </w:r>
      <w:r>
        <w:instrText xml:space="preserve"> HYPERLINK \l _Toc14492 </w:instrText>
      </w:r>
      <w:r>
        <w:fldChar w:fldCharType="separate"/>
      </w:r>
      <w:r>
        <w:rPr>
          <w:rFonts w:ascii="Arial" w:hAnsi="Arial"/>
        </w:rPr>
        <w:t>6.2 Sonraki Çalışmalar İçin Öneriler</w:t>
      </w:r>
      <w:r>
        <w:tab/>
      </w:r>
      <w:r>
        <w:fldChar w:fldCharType="begin"/>
      </w:r>
      <w:r>
        <w:instrText xml:space="preserve"> PAGEREF _Toc14492 \h </w:instrText>
      </w:r>
      <w:r>
        <w:fldChar w:fldCharType="separate"/>
      </w:r>
      <w:r>
        <w:t>27</w:t>
      </w:r>
      <w:r>
        <w:fldChar w:fldCharType="end"/>
      </w:r>
      <w:r>
        <w:fldChar w:fldCharType="end"/>
      </w:r>
    </w:p>
    <w:p w14:paraId="37ACFC37">
      <w:pPr>
        <w:pStyle w:val="37"/>
        <w:tabs>
          <w:tab w:val="right" w:leader="dot" w:pos="9406"/>
        </w:tabs>
      </w:pPr>
      <w:r>
        <w:fldChar w:fldCharType="begin"/>
      </w:r>
      <w:r>
        <w:instrText xml:space="preserve"> HYPERLINK \l _Toc18587 </w:instrText>
      </w:r>
      <w:r>
        <w:fldChar w:fldCharType="separate"/>
      </w:r>
      <w:r>
        <w:rPr>
          <w:rFonts w:ascii="Arial" w:hAnsi="Arial"/>
        </w:rPr>
        <w:t>KAYNAKLAR</w:t>
      </w:r>
      <w:r>
        <w:tab/>
      </w:r>
      <w:r>
        <w:fldChar w:fldCharType="begin"/>
      </w:r>
      <w:r>
        <w:instrText xml:space="preserve"> PAGEREF _Toc18587 \h </w:instrText>
      </w:r>
      <w:r>
        <w:fldChar w:fldCharType="separate"/>
      </w:r>
      <w:r>
        <w:t>28</w:t>
      </w:r>
      <w:r>
        <w:fldChar w:fldCharType="end"/>
      </w:r>
      <w:r>
        <w:fldChar w:fldCharType="end"/>
      </w:r>
    </w:p>
    <w:p w14:paraId="21C8AD2D">
      <w:pPr>
        <w:pStyle w:val="37"/>
        <w:tabs>
          <w:tab w:val="right" w:leader="dot" w:pos="9406"/>
        </w:tabs>
      </w:pPr>
      <w:r>
        <w:fldChar w:fldCharType="begin"/>
      </w:r>
      <w:r>
        <w:instrText xml:space="preserve"> HYPERLINK \l _Toc22304 </w:instrText>
      </w:r>
      <w:r>
        <w:fldChar w:fldCharType="separate"/>
      </w:r>
      <w:r>
        <w:rPr>
          <w:rFonts w:ascii="Arial" w:hAnsi="Arial"/>
        </w:rPr>
        <w:t>EKLER</w:t>
      </w:r>
      <w:r>
        <w:tab/>
      </w:r>
      <w:r>
        <w:fldChar w:fldCharType="begin"/>
      </w:r>
      <w:r>
        <w:instrText xml:space="preserve"> PAGEREF _Toc22304 \h </w:instrText>
      </w:r>
      <w:r>
        <w:fldChar w:fldCharType="separate"/>
      </w:r>
      <w:r>
        <w:t>29</w:t>
      </w:r>
      <w:r>
        <w:fldChar w:fldCharType="end"/>
      </w:r>
      <w:r>
        <w:fldChar w:fldCharType="end"/>
      </w:r>
    </w:p>
    <w:p w14:paraId="2C9C97C6">
      <w:pPr>
        <w:pStyle w:val="38"/>
        <w:tabs>
          <w:tab w:val="right" w:leader="dot" w:pos="9406"/>
        </w:tabs>
      </w:pPr>
      <w:r>
        <w:fldChar w:fldCharType="begin"/>
      </w:r>
      <w:r>
        <w:instrText xml:space="preserve"> HYPERLINK \l _Toc30073 </w:instrText>
      </w:r>
      <w:r>
        <w:fldChar w:fldCharType="separate"/>
      </w:r>
      <w:r>
        <w:rPr>
          <w:rFonts w:ascii="Arial" w:hAnsi="Arial"/>
        </w:rPr>
        <w:t>Ek A. Önerilen Uzlaşı Çözümünün Parametreleri</w:t>
      </w:r>
      <w:r>
        <w:tab/>
      </w:r>
      <w:r>
        <w:fldChar w:fldCharType="begin"/>
      </w:r>
      <w:r>
        <w:instrText xml:space="preserve"> PAGEREF _Toc30073 \h </w:instrText>
      </w:r>
      <w:r>
        <w:fldChar w:fldCharType="separate"/>
      </w:r>
      <w:r>
        <w:t>29</w:t>
      </w:r>
      <w:r>
        <w:fldChar w:fldCharType="end"/>
      </w:r>
      <w:r>
        <w:fldChar w:fldCharType="end"/>
      </w:r>
    </w:p>
    <w:p w14:paraId="3FEDA390">
      <w:pPr>
        <w:pStyle w:val="38"/>
        <w:tabs>
          <w:tab w:val="right" w:leader="dot" w:pos="9406"/>
        </w:tabs>
      </w:pPr>
      <w:r>
        <w:fldChar w:fldCharType="begin"/>
      </w:r>
      <w:r>
        <w:instrText xml:space="preserve"> HYPERLINK \l _Toc27750 </w:instrText>
      </w:r>
      <w:r>
        <w:fldChar w:fldCharType="separate"/>
      </w:r>
      <w:r>
        <w:rPr>
          <w:rFonts w:ascii="Arial" w:hAnsi="Arial"/>
        </w:rPr>
        <w:t>Ek B. Yazılım ve Veri Erişilebilirliği</w:t>
      </w:r>
      <w:r>
        <w:tab/>
      </w:r>
      <w:r>
        <w:fldChar w:fldCharType="begin"/>
      </w:r>
      <w:r>
        <w:instrText xml:space="preserve"> PAGEREF _Toc27750 \h </w:instrText>
      </w:r>
      <w:r>
        <w:fldChar w:fldCharType="separate"/>
      </w:r>
      <w:r>
        <w:t>29</w:t>
      </w:r>
      <w:r>
        <w:fldChar w:fldCharType="end"/>
      </w:r>
      <w:r>
        <w:fldChar w:fldCharType="end"/>
      </w:r>
    </w:p>
    <w:p w14:paraId="7CEFF161">
      <w:pPr>
        <w:pStyle w:val="38"/>
        <w:tabs>
          <w:tab w:val="right" w:leader="dot" w:pos="9406"/>
        </w:tabs>
      </w:pPr>
      <w:r>
        <w:fldChar w:fldCharType="begin"/>
      </w:r>
      <w:r>
        <w:instrText xml:space="preserve"> HYPERLINK \l _Toc17064 </w:instrText>
      </w:r>
      <w:r>
        <w:fldChar w:fldCharType="separate"/>
      </w:r>
      <w:r>
        <w:rPr>
          <w:rFonts w:ascii="Arial" w:hAnsi="Arial"/>
        </w:rPr>
        <w:t>Ek C. Varsayımlar ve Doğrulanması Gereken Girdiler</w:t>
      </w:r>
      <w:r>
        <w:tab/>
      </w:r>
      <w:r>
        <w:fldChar w:fldCharType="begin"/>
      </w:r>
      <w:r>
        <w:instrText xml:space="preserve"> PAGEREF _Toc17064 \h </w:instrText>
      </w:r>
      <w:r>
        <w:fldChar w:fldCharType="separate"/>
      </w:r>
      <w:r>
        <w:t>30</w:t>
      </w:r>
      <w:r>
        <w:fldChar w:fldCharType="end"/>
      </w:r>
      <w:r>
        <w:fldChar w:fldCharType="end"/>
      </w:r>
    </w:p>
    <w:p w14:paraId="292C81C4">
      <w:r>
        <w:fldChar w:fldCharType="end"/>
      </w:r>
    </w:p>
    <w:p w14:paraId="44C4B996">
      <w:r>
        <w:br w:type="page"/>
      </w:r>
    </w:p>
    <w:p w14:paraId="2EE1A8D4">
      <w:pPr>
        <w:pStyle w:val="2"/>
        <w:jc w:val="center"/>
      </w:pPr>
      <w:bookmarkStart w:id="2" w:name="_Toc14353"/>
      <w:r>
        <w:rPr>
          <w:rFonts w:ascii="Arial" w:hAnsi="Arial"/>
          <w:b/>
          <w:sz w:val="22"/>
        </w:rPr>
        <w:t>TABLO LİSTESİ</w:t>
      </w:r>
      <w:bookmarkEnd w:id="2"/>
    </w:p>
    <w:p w14:paraId="72C93719">
      <w:pPr>
        <w:pStyle w:val="37"/>
        <w:tabs>
          <w:tab w:val="right" w:leader="dot" w:pos="9406"/>
        </w:tabs>
      </w:pPr>
      <w:r>
        <w:fldChar w:fldCharType="begin"/>
      </w:r>
      <w:r>
        <w:instrText xml:space="preserve"> TOC \f t \h </w:instrText>
      </w:r>
      <w:r>
        <w:fldChar w:fldCharType="separate"/>
      </w:r>
      <w:r>
        <w:fldChar w:fldCharType="begin"/>
      </w:r>
      <w:r>
        <w:instrText xml:space="preserve"> HYPERLINK \l _Toc15349 </w:instrText>
      </w:r>
      <w:r>
        <w:fldChar w:fldCharType="separate"/>
      </w:r>
      <w:r>
        <w:t>Tablo 3.1. Karar değişkenleri ve tasarım uzayı</w:t>
      </w:r>
      <w:r>
        <w:tab/>
      </w:r>
      <w:r>
        <w:fldChar w:fldCharType="begin"/>
      </w:r>
      <w:r>
        <w:instrText xml:space="preserve"> PAGEREF _Toc15349 \h </w:instrText>
      </w:r>
      <w:r>
        <w:fldChar w:fldCharType="separate"/>
      </w:r>
      <w:r>
        <w:t>5</w:t>
      </w:r>
      <w:r>
        <w:fldChar w:fldCharType="end"/>
      </w:r>
      <w:r>
        <w:fldChar w:fldCharType="end"/>
      </w:r>
    </w:p>
    <w:p w14:paraId="5593491D">
      <w:pPr>
        <w:pStyle w:val="37"/>
        <w:tabs>
          <w:tab w:val="right" w:leader="dot" w:pos="9406"/>
        </w:tabs>
      </w:pPr>
      <w:r>
        <w:fldChar w:fldCharType="begin"/>
      </w:r>
      <w:r>
        <w:instrText xml:space="preserve"> HYPERLINK \l _Toc5186 </w:instrText>
      </w:r>
      <w:r>
        <w:fldChar w:fldCharType="separate"/>
      </w:r>
      <w:r>
        <w:t>Tablo 3.2. Amaç fonksiyonları ve kısıtlar</w:t>
      </w:r>
      <w:r>
        <w:tab/>
      </w:r>
      <w:r>
        <w:fldChar w:fldCharType="begin"/>
      </w:r>
      <w:r>
        <w:instrText xml:space="preserve"> PAGEREF _Toc5186 \h </w:instrText>
      </w:r>
      <w:r>
        <w:fldChar w:fldCharType="separate"/>
      </w:r>
      <w:r>
        <w:t>7</w:t>
      </w:r>
      <w:r>
        <w:fldChar w:fldCharType="end"/>
      </w:r>
      <w:r>
        <w:fldChar w:fldCharType="end"/>
      </w:r>
    </w:p>
    <w:p w14:paraId="7E6CB74C">
      <w:pPr>
        <w:pStyle w:val="37"/>
        <w:tabs>
          <w:tab w:val="right" w:leader="dot" w:pos="9406"/>
        </w:tabs>
      </w:pPr>
      <w:r>
        <w:fldChar w:fldCharType="begin"/>
      </w:r>
      <w:r>
        <w:instrText xml:space="preserve"> HYPERLINK \l _Toc21867 </w:instrText>
      </w:r>
      <w:r>
        <w:fldChar w:fldCharType="separate"/>
      </w:r>
      <w:r>
        <w:t>Tablo 3.3. Yazılım aracının katmanları</w:t>
      </w:r>
      <w:r>
        <w:tab/>
      </w:r>
      <w:r>
        <w:fldChar w:fldCharType="begin"/>
      </w:r>
      <w:r>
        <w:instrText xml:space="preserve"> PAGEREF _Toc21867 \h </w:instrText>
      </w:r>
      <w:r>
        <w:fldChar w:fldCharType="separate"/>
      </w:r>
      <w:r>
        <w:t>9</w:t>
      </w:r>
      <w:r>
        <w:fldChar w:fldCharType="end"/>
      </w:r>
      <w:r>
        <w:fldChar w:fldCharType="end"/>
      </w:r>
    </w:p>
    <w:p w14:paraId="68F703E4">
      <w:pPr>
        <w:pStyle w:val="37"/>
        <w:tabs>
          <w:tab w:val="right" w:leader="dot" w:pos="9406"/>
        </w:tabs>
      </w:pPr>
      <w:r>
        <w:fldChar w:fldCharType="begin"/>
      </w:r>
      <w:r>
        <w:instrText xml:space="preserve"> HYPERLINK \l _Toc12213 </w:instrText>
      </w:r>
      <w:r>
        <w:fldChar w:fldCharType="separate"/>
      </w:r>
      <w:r>
        <w:t>Tablo 4.1. Model onarımının taban çizgisi üzerindeki etkisi</w:t>
      </w:r>
      <w:r>
        <w:tab/>
      </w:r>
      <w:r>
        <w:fldChar w:fldCharType="begin"/>
      </w:r>
      <w:r>
        <w:instrText xml:space="preserve"> PAGEREF _Toc12213 \h </w:instrText>
      </w:r>
      <w:r>
        <w:fldChar w:fldCharType="separate"/>
      </w:r>
      <w:r>
        <w:t>12</w:t>
      </w:r>
      <w:r>
        <w:fldChar w:fldCharType="end"/>
      </w:r>
      <w:r>
        <w:fldChar w:fldCharType="end"/>
      </w:r>
    </w:p>
    <w:p w14:paraId="0AEA80FB">
      <w:pPr>
        <w:pStyle w:val="37"/>
        <w:tabs>
          <w:tab w:val="right" w:leader="dot" w:pos="9406"/>
        </w:tabs>
      </w:pPr>
      <w:r>
        <w:fldChar w:fldCharType="begin"/>
      </w:r>
      <w:r>
        <w:instrText xml:space="preserve"> HYPERLINK \l _Toc5048 </w:instrText>
      </w:r>
      <w:r>
        <w:fldChar w:fldCharType="separate"/>
      </w:r>
      <w:r>
        <w:t>Tablo 4.2. Toplam saha enerjisi için Sobol duyarlılık indisleri</w:t>
      </w:r>
      <w:r>
        <w:tab/>
      </w:r>
      <w:r>
        <w:fldChar w:fldCharType="begin"/>
      </w:r>
      <w:r>
        <w:instrText xml:space="preserve"> PAGEREF _Toc5048 \h </w:instrText>
      </w:r>
      <w:r>
        <w:fldChar w:fldCharType="separate"/>
      </w:r>
      <w:r>
        <w:t>13</w:t>
      </w:r>
      <w:r>
        <w:fldChar w:fldCharType="end"/>
      </w:r>
      <w:r>
        <w:fldChar w:fldCharType="end"/>
      </w:r>
    </w:p>
    <w:p w14:paraId="444BB084">
      <w:pPr>
        <w:pStyle w:val="37"/>
        <w:tabs>
          <w:tab w:val="right" w:leader="dot" w:pos="9406"/>
        </w:tabs>
      </w:pPr>
      <w:r>
        <w:fldChar w:fldCharType="begin"/>
      </w:r>
      <w:r>
        <w:instrText xml:space="preserve"> HYPERLINK \l _Toc27262 </w:instrText>
      </w:r>
      <w:r>
        <w:fldChar w:fldCharType="separate"/>
      </w:r>
      <w:r>
        <w:t>Tablo 4.3. Son kullanımlara göre enerji dağılımı ve önemli enerji kullanımları</w:t>
      </w:r>
      <w:r>
        <w:tab/>
      </w:r>
      <w:r>
        <w:fldChar w:fldCharType="begin"/>
      </w:r>
      <w:r>
        <w:instrText xml:space="preserve"> PAGEREF _Toc27262 \h </w:instrText>
      </w:r>
      <w:r>
        <w:fldChar w:fldCharType="separate"/>
      </w:r>
      <w:r>
        <w:t>14</w:t>
      </w:r>
      <w:r>
        <w:fldChar w:fldCharType="end"/>
      </w:r>
      <w:r>
        <w:fldChar w:fldCharType="end"/>
      </w:r>
    </w:p>
    <w:p w14:paraId="3A0B8D30">
      <w:pPr>
        <w:pStyle w:val="37"/>
        <w:tabs>
          <w:tab w:val="right" w:leader="dot" w:pos="9406"/>
        </w:tabs>
      </w:pPr>
      <w:r>
        <w:fldChar w:fldCharType="begin"/>
      </w:r>
      <w:r>
        <w:instrText xml:space="preserve"> HYPERLINK \l _Toc2925 </w:instrText>
      </w:r>
      <w:r>
        <w:fldChar w:fldCharType="separate"/>
      </w:r>
      <w:r>
        <w:t>Tablo 4.4. Taban çizgisi enerji performans göstergeleri</w:t>
      </w:r>
      <w:r>
        <w:tab/>
      </w:r>
      <w:r>
        <w:fldChar w:fldCharType="begin"/>
      </w:r>
      <w:r>
        <w:instrText xml:space="preserve"> PAGEREF _Toc2925 \h </w:instrText>
      </w:r>
      <w:r>
        <w:fldChar w:fldCharType="separate"/>
      </w:r>
      <w:r>
        <w:t>15</w:t>
      </w:r>
      <w:r>
        <w:fldChar w:fldCharType="end"/>
      </w:r>
      <w:r>
        <w:fldChar w:fldCharType="end"/>
      </w:r>
    </w:p>
    <w:p w14:paraId="39111207">
      <w:pPr>
        <w:pStyle w:val="37"/>
        <w:tabs>
          <w:tab w:val="right" w:leader="dot" w:pos="9406"/>
        </w:tabs>
      </w:pPr>
      <w:r>
        <w:fldChar w:fldCharType="begin"/>
      </w:r>
      <w:r>
        <w:instrText xml:space="preserve"> HYPERLINK \l _Toc28621 </w:instrText>
      </w:r>
      <w:r>
        <w:fldChar w:fldCharType="separate"/>
      </w:r>
      <w:r>
        <w:t>Tablo 4.5. Bağımsız test kümesinde vekil model başarımı</w:t>
      </w:r>
      <w:r>
        <w:tab/>
      </w:r>
      <w:r>
        <w:fldChar w:fldCharType="begin"/>
      </w:r>
      <w:r>
        <w:instrText xml:space="preserve"> PAGEREF _Toc28621 \h </w:instrText>
      </w:r>
      <w:r>
        <w:fldChar w:fldCharType="separate"/>
      </w:r>
      <w:r>
        <w:t>16</w:t>
      </w:r>
      <w:r>
        <w:fldChar w:fldCharType="end"/>
      </w:r>
      <w:r>
        <w:fldChar w:fldCharType="end"/>
      </w:r>
    </w:p>
    <w:p w14:paraId="525E6153">
      <w:pPr>
        <w:pStyle w:val="37"/>
        <w:tabs>
          <w:tab w:val="right" w:leader="dot" w:pos="9406"/>
        </w:tabs>
      </w:pPr>
      <w:r>
        <w:fldChar w:fldCharType="begin"/>
      </w:r>
      <w:r>
        <w:instrText xml:space="preserve"> HYPERLINK \l _Toc2133 </w:instrText>
      </w:r>
      <w:r>
        <w:fldChar w:fldCharType="separate"/>
      </w:r>
      <w:r>
        <w:t>Tablo 4.6. Doğrulama turlarının özeti</w:t>
      </w:r>
      <w:r>
        <w:tab/>
      </w:r>
      <w:r>
        <w:fldChar w:fldCharType="begin"/>
      </w:r>
      <w:r>
        <w:instrText xml:space="preserve"> PAGEREF _Toc2133 \h </w:instrText>
      </w:r>
      <w:r>
        <w:fldChar w:fldCharType="separate"/>
      </w:r>
      <w:r>
        <w:t>17</w:t>
      </w:r>
      <w:r>
        <w:fldChar w:fldCharType="end"/>
      </w:r>
      <w:r>
        <w:fldChar w:fldCharType="end"/>
      </w:r>
    </w:p>
    <w:p w14:paraId="45A17A80">
      <w:pPr>
        <w:pStyle w:val="37"/>
        <w:tabs>
          <w:tab w:val="right" w:leader="dot" w:pos="9406"/>
        </w:tabs>
      </w:pPr>
      <w:r>
        <w:fldChar w:fldCharType="begin"/>
      </w:r>
      <w:r>
        <w:instrText xml:space="preserve"> HYPERLINK \l _Toc23602 </w:instrText>
      </w:r>
      <w:r>
        <w:fldChar w:fldCharType="separate"/>
      </w:r>
      <w:r>
        <w:t>Tablo 4.7. Dördüncü turda doğrulama noktalarının vekil model tahmini ile EnergyPlus sonucunun karşılaştırılması</w:t>
      </w:r>
      <w:r>
        <w:tab/>
      </w:r>
      <w:r>
        <w:fldChar w:fldCharType="begin"/>
      </w:r>
      <w:r>
        <w:instrText xml:space="preserve"> PAGEREF _Toc23602 \h </w:instrText>
      </w:r>
      <w:r>
        <w:fldChar w:fldCharType="separate"/>
      </w:r>
      <w:r>
        <w:t>18</w:t>
      </w:r>
      <w:r>
        <w:fldChar w:fldCharType="end"/>
      </w:r>
      <w:r>
        <w:fldChar w:fldCharType="end"/>
      </w:r>
    </w:p>
    <w:p w14:paraId="7A803C11">
      <w:pPr>
        <w:pStyle w:val="37"/>
        <w:tabs>
          <w:tab w:val="right" w:leader="dot" w:pos="9406"/>
        </w:tabs>
      </w:pPr>
      <w:r>
        <w:fldChar w:fldCharType="begin"/>
      </w:r>
      <w:r>
        <w:instrText xml:space="preserve"> HYPERLINK \l _Toc31979 </w:instrText>
      </w:r>
      <w:r>
        <w:fldChar w:fldCharType="separate"/>
      </w:r>
      <w:r>
        <w:t>Tablo 5.1. Cam sınırı düzeltmesinin Pareto cephesine etkisi</w:t>
      </w:r>
      <w:r>
        <w:tab/>
      </w:r>
      <w:r>
        <w:fldChar w:fldCharType="begin"/>
      </w:r>
      <w:r>
        <w:instrText xml:space="preserve"> PAGEREF _Toc31979 \h </w:instrText>
      </w:r>
      <w:r>
        <w:fldChar w:fldCharType="separate"/>
      </w:r>
      <w:r>
        <w:t>26</w:t>
      </w:r>
      <w:r>
        <w:fldChar w:fldCharType="end"/>
      </w:r>
      <w:r>
        <w:fldChar w:fldCharType="end"/>
      </w:r>
    </w:p>
    <w:p w14:paraId="6182EB5D">
      <w:pPr>
        <w:pStyle w:val="37"/>
        <w:tabs>
          <w:tab w:val="right" w:leader="dot" w:pos="9406"/>
        </w:tabs>
      </w:pPr>
      <w:r>
        <w:fldChar w:fldCharType="begin"/>
      </w:r>
      <w:r>
        <w:instrText xml:space="preserve"> HYPERLINK \l _Toc10177 </w:instrText>
      </w:r>
      <w:r>
        <w:fldChar w:fldCharType="separate"/>
      </w:r>
      <w:r>
        <w:t>Tablo A.1. Önerilen uzlaşı çözümünün karar değişkeni değerleri</w:t>
      </w:r>
      <w:r>
        <w:tab/>
      </w:r>
      <w:r>
        <w:fldChar w:fldCharType="begin"/>
      </w:r>
      <w:r>
        <w:instrText xml:space="preserve"> PAGEREF _Toc10177 \h </w:instrText>
      </w:r>
      <w:r>
        <w:fldChar w:fldCharType="separate"/>
      </w:r>
      <w:r>
        <w:t>29</w:t>
      </w:r>
      <w:r>
        <w:fldChar w:fldCharType="end"/>
      </w:r>
      <w:r>
        <w:fldChar w:fldCharType="end"/>
      </w:r>
    </w:p>
    <w:p w14:paraId="7535DEE5">
      <w:pPr>
        <w:pStyle w:val="37"/>
        <w:tabs>
          <w:tab w:val="right" w:leader="dot" w:pos="9406"/>
        </w:tabs>
      </w:pPr>
      <w:r>
        <w:fldChar w:fldCharType="begin"/>
      </w:r>
      <w:r>
        <w:instrText xml:space="preserve"> HYPERLINK \l _Toc6764 </w:instrText>
      </w:r>
      <w:r>
        <w:fldChar w:fldCharType="separate"/>
      </w:r>
      <w:r>
        <w:t>Tablo B.1. Analiz adımları ve karşılık gelen betikler</w:t>
      </w:r>
      <w:r>
        <w:tab/>
      </w:r>
      <w:r>
        <w:fldChar w:fldCharType="begin"/>
      </w:r>
      <w:r>
        <w:instrText xml:space="preserve"> PAGEREF _Toc6764 \h </w:instrText>
      </w:r>
      <w:r>
        <w:fldChar w:fldCharType="separate"/>
      </w:r>
      <w:r>
        <w:t>30</w:t>
      </w:r>
      <w:r>
        <w:fldChar w:fldCharType="end"/>
      </w:r>
      <w:r>
        <w:fldChar w:fldCharType="end"/>
      </w:r>
    </w:p>
    <w:p w14:paraId="1AC56330">
      <w:pPr>
        <w:pStyle w:val="37"/>
        <w:tabs>
          <w:tab w:val="right" w:leader="dot" w:pos="9406"/>
        </w:tabs>
      </w:pPr>
      <w:r>
        <w:fldChar w:fldCharType="begin"/>
      </w:r>
      <w:r>
        <w:instrText xml:space="preserve"> HYPERLINK \l _Toc23123 </w:instrText>
      </w:r>
      <w:r>
        <w:fldChar w:fldCharType="separate"/>
      </w:r>
      <w:r>
        <w:t>Tablo C.1. Varsayıma dayalı girdiler</w:t>
      </w:r>
      <w:r>
        <w:tab/>
      </w:r>
      <w:r>
        <w:fldChar w:fldCharType="begin"/>
      </w:r>
      <w:r>
        <w:instrText xml:space="preserve"> PAGEREF _Toc23123 \h </w:instrText>
      </w:r>
      <w:r>
        <w:fldChar w:fldCharType="separate"/>
      </w:r>
      <w:r>
        <w:t>30</w:t>
      </w:r>
      <w:r>
        <w:fldChar w:fldCharType="end"/>
      </w:r>
      <w:r>
        <w:fldChar w:fldCharType="end"/>
      </w:r>
    </w:p>
    <w:p w14:paraId="7CE24073">
      <w:r>
        <w:fldChar w:fldCharType="end"/>
      </w:r>
    </w:p>
    <w:p w14:paraId="623BE163">
      <w:r>
        <w:br w:type="page"/>
      </w:r>
    </w:p>
    <w:p w14:paraId="1083298C">
      <w:pPr>
        <w:pStyle w:val="2"/>
        <w:jc w:val="center"/>
      </w:pPr>
      <w:bookmarkStart w:id="3" w:name="_Toc11273"/>
      <w:r>
        <w:rPr>
          <w:rFonts w:ascii="Arial" w:hAnsi="Arial"/>
          <w:b/>
          <w:sz w:val="22"/>
        </w:rPr>
        <w:t>ŞEKİL LİSTESİ</w:t>
      </w:r>
      <w:bookmarkEnd w:id="3"/>
    </w:p>
    <w:p w14:paraId="75CC1D43">
      <w:pPr>
        <w:pStyle w:val="37"/>
        <w:tabs>
          <w:tab w:val="right" w:leader="dot" w:pos="9406"/>
        </w:tabs>
      </w:pPr>
      <w:r>
        <w:fldChar w:fldCharType="begin"/>
      </w:r>
      <w:r>
        <w:instrText xml:space="preserve"> TOC \f g \h </w:instrText>
      </w:r>
      <w:r>
        <w:fldChar w:fldCharType="separate"/>
      </w:r>
      <w:r>
        <w:fldChar w:fldCharType="begin"/>
      </w:r>
      <w:r>
        <w:instrText xml:space="preserve"> HYPERLINK \l _Toc16024 </w:instrText>
      </w:r>
      <w:r>
        <w:fldChar w:fldCharType="separate"/>
      </w:r>
      <w:r>
        <w:t>Şekil 3.1. Yazılım aracının katmanlı mimarisi</w:t>
      </w:r>
      <w:r>
        <w:tab/>
      </w:r>
      <w:r>
        <w:fldChar w:fldCharType="begin"/>
      </w:r>
      <w:r>
        <w:instrText xml:space="preserve"> PAGEREF _Toc16024 \h </w:instrText>
      </w:r>
      <w:r>
        <w:fldChar w:fldCharType="separate"/>
      </w:r>
      <w:r>
        <w:t>9</w:t>
      </w:r>
      <w:r>
        <w:fldChar w:fldCharType="end"/>
      </w:r>
      <w:r>
        <w:fldChar w:fldCharType="end"/>
      </w:r>
    </w:p>
    <w:p w14:paraId="6CC0F10A">
      <w:pPr>
        <w:pStyle w:val="37"/>
        <w:tabs>
          <w:tab w:val="right" w:leader="dot" w:pos="9406"/>
        </w:tabs>
      </w:pPr>
      <w:r>
        <w:fldChar w:fldCharType="begin"/>
      </w:r>
      <w:r>
        <w:instrText xml:space="preserve"> HYPERLINK \l _Toc8907 </w:instrText>
      </w:r>
      <w:r>
        <w:fldChar w:fldCharType="separate"/>
      </w:r>
      <w:r>
        <w:t>Şekil 3.2. Enerji Merkezi ekranı: onarılmış taban koşusunun özet göstergeleri, son kullanım dağılımı ve aylık tüketim profili</w:t>
      </w:r>
      <w:r>
        <w:tab/>
      </w:r>
      <w:r>
        <w:fldChar w:fldCharType="begin"/>
      </w:r>
      <w:r>
        <w:instrText xml:space="preserve"> PAGEREF _Toc8907 \h </w:instrText>
      </w:r>
      <w:r>
        <w:fldChar w:fldCharType="separate"/>
      </w:r>
      <w:r>
        <w:t>10</w:t>
      </w:r>
      <w:r>
        <w:fldChar w:fldCharType="end"/>
      </w:r>
      <w:r>
        <w:fldChar w:fldCharType="end"/>
      </w:r>
    </w:p>
    <w:p w14:paraId="1F95C81F">
      <w:pPr>
        <w:pStyle w:val="37"/>
        <w:tabs>
          <w:tab w:val="right" w:leader="dot" w:pos="9406"/>
        </w:tabs>
      </w:pPr>
      <w:r>
        <w:fldChar w:fldCharType="begin"/>
      </w:r>
      <w:r>
        <w:instrText xml:space="preserve"> HYPERLINK \l _Toc3167 </w:instrText>
      </w:r>
      <w:r>
        <w:fldChar w:fldCharType="separate"/>
      </w:r>
      <w:r>
        <w:t>Şekil 3.3. Senaryo Kurucu ekranı: karar değişkenlerinin tanımlanması ve gerçek OpenStudio koşusunun başlatılması</w:t>
      </w:r>
      <w:r>
        <w:tab/>
      </w:r>
      <w:r>
        <w:fldChar w:fldCharType="begin"/>
      </w:r>
      <w:r>
        <w:instrText xml:space="preserve"> PAGEREF _Toc3167 \h </w:instrText>
      </w:r>
      <w:r>
        <w:fldChar w:fldCharType="separate"/>
      </w:r>
      <w:r>
        <w:t>11</w:t>
      </w:r>
      <w:r>
        <w:fldChar w:fldCharType="end"/>
      </w:r>
      <w:r>
        <w:fldChar w:fldCharType="end"/>
      </w:r>
    </w:p>
    <w:p w14:paraId="22686A43">
      <w:pPr>
        <w:pStyle w:val="37"/>
        <w:tabs>
          <w:tab w:val="right" w:leader="dot" w:pos="9406"/>
        </w:tabs>
      </w:pPr>
      <w:r>
        <w:fldChar w:fldCharType="begin"/>
      </w:r>
      <w:r>
        <w:instrText xml:space="preserve"> HYPERLINK \l _Toc29065 </w:instrText>
      </w:r>
      <w:r>
        <w:fldChar w:fldCharType="separate"/>
      </w:r>
      <w:r>
        <w:t>Şekil 3.4. Model ve Varlıklar ekranı: mekân, yüzey, ısıl bölge ve konstrüksiyon katmanlarının incelenmesi</w:t>
      </w:r>
      <w:r>
        <w:tab/>
      </w:r>
      <w:r>
        <w:fldChar w:fldCharType="begin"/>
      </w:r>
      <w:r>
        <w:instrText xml:space="preserve"> PAGEREF _Toc29065 \h </w:instrText>
      </w:r>
      <w:r>
        <w:fldChar w:fldCharType="separate"/>
      </w:r>
      <w:r>
        <w:t>12</w:t>
      </w:r>
      <w:r>
        <w:fldChar w:fldCharType="end"/>
      </w:r>
      <w:r>
        <w:fldChar w:fldCharType="end"/>
      </w:r>
    </w:p>
    <w:p w14:paraId="337EE7EB">
      <w:pPr>
        <w:pStyle w:val="37"/>
        <w:tabs>
          <w:tab w:val="right" w:leader="dot" w:pos="9406"/>
        </w:tabs>
      </w:pPr>
      <w:r>
        <w:fldChar w:fldCharType="begin"/>
      </w:r>
      <w:r>
        <w:instrText xml:space="preserve"> HYPERLINK \l _Toc28427 </w:instrText>
      </w:r>
      <w:r>
        <w:fldChar w:fldCharType="separate"/>
      </w:r>
      <w:r>
        <w:t>Şekil 4.1. Karar değişkenlerinin toplam saha enerjisine ilişkin Sobol birinci mertebe ve toplam etki indisleri</w:t>
      </w:r>
      <w:r>
        <w:tab/>
      </w:r>
      <w:r>
        <w:fldChar w:fldCharType="begin"/>
      </w:r>
      <w:r>
        <w:instrText xml:space="preserve"> PAGEREF _Toc28427 \h </w:instrText>
      </w:r>
      <w:r>
        <w:fldChar w:fldCharType="separate"/>
      </w:r>
      <w:r>
        <w:t>14</w:t>
      </w:r>
      <w:r>
        <w:fldChar w:fldCharType="end"/>
      </w:r>
      <w:r>
        <w:fldChar w:fldCharType="end"/>
      </w:r>
    </w:p>
    <w:p w14:paraId="1DA29FCF">
      <w:pPr>
        <w:pStyle w:val="37"/>
        <w:tabs>
          <w:tab w:val="right" w:leader="dot" w:pos="9406"/>
        </w:tabs>
      </w:pPr>
      <w:r>
        <w:fldChar w:fldCharType="begin"/>
      </w:r>
      <w:r>
        <w:instrText xml:space="preserve"> HYPERLINK \l _Toc30578 </w:instrText>
      </w:r>
      <w:r>
        <w:fldChar w:fldCharType="separate"/>
      </w:r>
      <w:r>
        <w:t>Şekil 4.2. Son kullanımlara göre yıllık enerji tüketimi ve kümülatif pay eğrisi; koyu sütunlar önemli enerji kullanımlarını gös</w:t>
      </w:r>
      <w:r>
        <w:tab/>
      </w:r>
      <w:r>
        <w:fldChar w:fldCharType="begin"/>
      </w:r>
      <w:r>
        <w:instrText xml:space="preserve"> PAGEREF _Toc30578 \h </w:instrText>
      </w:r>
      <w:r>
        <w:fldChar w:fldCharType="separate"/>
      </w:r>
      <w:r>
        <w:t>15</w:t>
      </w:r>
      <w:r>
        <w:fldChar w:fldCharType="end"/>
      </w:r>
      <w:r>
        <w:fldChar w:fldCharType="end"/>
      </w:r>
    </w:p>
    <w:p w14:paraId="2F44D8ED">
      <w:pPr>
        <w:pStyle w:val="37"/>
        <w:tabs>
          <w:tab w:val="right" w:leader="dot" w:pos="9406"/>
        </w:tabs>
      </w:pPr>
      <w:r>
        <w:fldChar w:fldCharType="begin"/>
      </w:r>
      <w:r>
        <w:instrText xml:space="preserve"> HYPERLINK \l _Toc937 </w:instrText>
      </w:r>
      <w:r>
        <w:fldChar w:fldCharType="separate"/>
      </w:r>
      <w:r>
        <w:t>Şekil 4.3. Solda enerji performans göstergesi ile yatırım maliyeti düzleminde Pareto cephesi (renk ölçeği konfor ihlalini göste</w:t>
      </w:r>
      <w:r>
        <w:tab/>
      </w:r>
      <w:r>
        <w:fldChar w:fldCharType="begin"/>
      </w:r>
      <w:r>
        <w:instrText xml:space="preserve"> PAGEREF _Toc937 \h </w:instrText>
      </w:r>
      <w:r>
        <w:fldChar w:fldCharType="separate"/>
      </w:r>
      <w:r>
        <w:t>17</w:t>
      </w:r>
      <w:r>
        <w:fldChar w:fldCharType="end"/>
      </w:r>
      <w:r>
        <w:fldChar w:fldCharType="end"/>
      </w:r>
    </w:p>
    <w:p w14:paraId="2F06293A">
      <w:pPr>
        <w:pStyle w:val="37"/>
        <w:tabs>
          <w:tab w:val="right" w:leader="dot" w:pos="9406"/>
        </w:tabs>
      </w:pPr>
      <w:r>
        <w:fldChar w:fldCharType="begin"/>
      </w:r>
      <w:r>
        <w:instrText xml:space="preserve"> HYPERLINK \l _Toc13875 </w:instrText>
      </w:r>
      <w:r>
        <w:fldChar w:fldCharType="separate"/>
      </w:r>
      <w:r>
        <w:t>Şekil 4.4. Doğrulama noktalarında vekil model tahmininin EnergyPlus sonucundan sapması; kesikli çizgiler ±%5 kabul toleransını</w:t>
      </w:r>
      <w:r>
        <w:tab/>
      </w:r>
      <w:r>
        <w:fldChar w:fldCharType="begin"/>
      </w:r>
      <w:r>
        <w:instrText xml:space="preserve"> PAGEREF _Toc13875 \h </w:instrText>
      </w:r>
      <w:r>
        <w:fldChar w:fldCharType="separate"/>
      </w:r>
      <w:r>
        <w:t>19</w:t>
      </w:r>
      <w:r>
        <w:fldChar w:fldCharType="end"/>
      </w:r>
      <w:r>
        <w:fldChar w:fldCharType="end"/>
      </w:r>
    </w:p>
    <w:p w14:paraId="4E3AD785">
      <w:pPr>
        <w:pStyle w:val="37"/>
        <w:tabs>
          <w:tab w:val="right" w:leader="dot" w:pos="9406"/>
        </w:tabs>
      </w:pPr>
      <w:r>
        <w:fldChar w:fldCharType="begin"/>
      </w:r>
      <w:r>
        <w:instrText xml:space="preserve"> HYPERLINK \l _Toc696 </w:instrText>
      </w:r>
      <w:r>
        <w:fldChar w:fldCharType="separate"/>
      </w:r>
      <w:r>
        <w:t>Şekil 4.5. Vekil Model ekranı: aday modellerin karşılaştırması, bağımsız test kümesi başarımı ve duyarlılık sıralaması</w:t>
      </w:r>
      <w:r>
        <w:tab/>
      </w:r>
      <w:r>
        <w:fldChar w:fldCharType="begin"/>
      </w:r>
      <w:r>
        <w:instrText xml:space="preserve"> PAGEREF _Toc696 \h </w:instrText>
      </w:r>
      <w:r>
        <w:fldChar w:fldCharType="separate"/>
      </w:r>
      <w:r>
        <w:t>20</w:t>
      </w:r>
      <w:r>
        <w:fldChar w:fldCharType="end"/>
      </w:r>
      <w:r>
        <w:fldChar w:fldCharType="end"/>
      </w:r>
    </w:p>
    <w:p w14:paraId="6906DF4F">
      <w:pPr>
        <w:pStyle w:val="37"/>
        <w:tabs>
          <w:tab w:val="right" w:leader="dot" w:pos="9406"/>
        </w:tabs>
      </w:pPr>
      <w:r>
        <w:fldChar w:fldCharType="begin"/>
      </w:r>
      <w:r>
        <w:instrText xml:space="preserve"> HYPERLINK \l _Toc29613 </w:instrText>
      </w:r>
      <w:r>
        <w:fldChar w:fldCharType="separate"/>
      </w:r>
      <w:r>
        <w:t>Şekil 4.6. Pareto ekranı: çok amaçlı optimizasyon cephesi ve hipervolüm yakınsaması</w:t>
      </w:r>
      <w:r>
        <w:tab/>
      </w:r>
      <w:r>
        <w:fldChar w:fldCharType="begin"/>
      </w:r>
      <w:r>
        <w:instrText xml:space="preserve"> PAGEREF _Toc29613 \h </w:instrText>
      </w:r>
      <w:r>
        <w:fldChar w:fldCharType="separate"/>
      </w:r>
      <w:r>
        <w:t>21</w:t>
      </w:r>
      <w:r>
        <w:fldChar w:fldCharType="end"/>
      </w:r>
      <w:r>
        <w:fldChar w:fldCharType="end"/>
      </w:r>
    </w:p>
    <w:p w14:paraId="28FC6064">
      <w:pPr>
        <w:pStyle w:val="37"/>
        <w:tabs>
          <w:tab w:val="right" w:leader="dot" w:pos="9406"/>
        </w:tabs>
      </w:pPr>
      <w:r>
        <w:fldChar w:fldCharType="begin"/>
      </w:r>
      <w:r>
        <w:instrText xml:space="preserve"> HYPERLINK \l _Toc21617 </w:instrText>
      </w:r>
      <w:r>
        <w:fldChar w:fldCharType="separate"/>
      </w:r>
      <w:r>
        <w:t>Şekil 4.7. ISO 50001 ekranı: önemli enerji kullanımları, derece-gün normalizasyonu ve enerji performans göstergeleri</w:t>
      </w:r>
      <w:r>
        <w:tab/>
      </w:r>
      <w:r>
        <w:fldChar w:fldCharType="begin"/>
      </w:r>
      <w:r>
        <w:instrText xml:space="preserve"> PAGEREF _Toc21617 \h </w:instrText>
      </w:r>
      <w:r>
        <w:fldChar w:fldCharType="separate"/>
      </w:r>
      <w:r>
        <w:t>22</w:t>
      </w:r>
      <w:r>
        <w:fldChar w:fldCharType="end"/>
      </w:r>
      <w:r>
        <w:fldChar w:fldCharType="end"/>
      </w:r>
    </w:p>
    <w:p w14:paraId="019EF644">
      <w:pPr>
        <w:pStyle w:val="37"/>
        <w:tabs>
          <w:tab w:val="right" w:leader="dot" w:pos="9406"/>
        </w:tabs>
      </w:pPr>
      <w:r>
        <w:fldChar w:fldCharType="begin"/>
      </w:r>
      <w:r>
        <w:instrText xml:space="preserve"> HYPERLINK \l _Toc12715 </w:instrText>
      </w:r>
      <w:r>
        <w:fldChar w:fldCharType="separate"/>
      </w:r>
      <w:r>
        <w:t>Şekil 4.8. Doğrulama ekranı: vekil model tahmini ile bağımsız EnergyPlus koşusunun nokta bazında karşılaştırılması</w:t>
      </w:r>
      <w:r>
        <w:tab/>
      </w:r>
      <w:r>
        <w:fldChar w:fldCharType="begin"/>
      </w:r>
      <w:r>
        <w:instrText xml:space="preserve"> PAGEREF _Toc12715 \h </w:instrText>
      </w:r>
      <w:r>
        <w:fldChar w:fldCharType="separate"/>
      </w:r>
      <w:r>
        <w:t>23</w:t>
      </w:r>
      <w:r>
        <w:fldChar w:fldCharType="end"/>
      </w:r>
      <w:r>
        <w:fldChar w:fldCharType="end"/>
      </w:r>
    </w:p>
    <w:p w14:paraId="5428C036">
      <w:r>
        <w:fldChar w:fldCharType="end"/>
      </w:r>
    </w:p>
    <w:p w14:paraId="4D0D3F04">
      <w:r>
        <w:br w:type="page"/>
      </w:r>
    </w:p>
    <w:p w14:paraId="14A48075">
      <w:pPr>
        <w:pStyle w:val="2"/>
        <w:jc w:val="center"/>
      </w:pPr>
      <w:bookmarkStart w:id="4" w:name="_Toc14933"/>
      <w:r>
        <w:rPr>
          <w:rFonts w:ascii="Arial" w:hAnsi="Arial"/>
          <w:b/>
          <w:sz w:val="22"/>
        </w:rPr>
        <w:t>ÖZET</w:t>
      </w:r>
      <w:bookmarkEnd w:id="4"/>
    </w:p>
    <w:p w14:paraId="525C4C5A">
      <w:pPr>
        <w:jc w:val="both"/>
      </w:pPr>
      <w:r>
        <w:rPr>
          <w:rFonts w:ascii="Arial" w:hAnsi="Arial"/>
          <w:sz w:val="22"/>
        </w:rPr>
        <w:t>Bu çalışmada, 4.246,18 m² kapalı alana sahip ve önemli enerji kullanıcısı niteliğindeki bir kampüs binasının yıllık enerji tüketimi, ISO 50001 enerji yönetim sistemi çerçevesinde çok amaçlı olarak eniyilenmiştir. Yöntem dört bileşenden oluşmaktadır: kalibre edilmiş bir EnergyPlus taban modeli, düşük tutarsızlıklı Sobol örneklemesiyle kurulan 175 koşuluk bir eğitim kümesi, bu küme üzerinde eğitilen bir Kriging vekil modeli ve NSGA-II ile yürütülen üç amaçlı optimizasyon. Amaç fonksiyonları enerji performans göstergesi (EnPİ), yatırım maliyeti ve konfor ihlali; kısıtlar ise TS 825 ısı yalıtım sınırları, konfor tavanı, bütçe tavanı ve asgari ölü banttır. Vekil model bağımsız test kümesinde %2,75 CVRMSE ve 0,994 belirlilik katsayısı vermiş, EnergyPlus'a kıyasla yaklaşık yirmi iki milyon kat hızlanma sağlamıştır. Elde edilen 80 çözümlü Pareto cephesinden seçilen sekiz nokta bağımsız EnergyPlus koşularıyla doğrulanmış, ortalama mutlak sapma %1,89, en büyük sapma ise %4,57 olarak ölçülmüştür. Çalışmanın en önemli bulgusu, başlangıçtaki yalıtım odaklı tasarım hipotezinin veriyle reddedilmesidir: EPS kalınlığının enerji varyansına birinci mertebe katkısı 0,0002 iken chiller COP katkısı 0,5687'dir. Bina soğutma ağırlıklıdır ve soğutma toplam tüketimin %58,3'ini oluşturmaktadır. Önerilen uzlaşı çözümü, EnPİ değerini 125,60 kWh/m²·yıl seviyesinden 73,83 kWh/m²·yıl seviyesine indirmektedir.</w:t>
      </w:r>
    </w:p>
    <w:p w14:paraId="789FE385">
      <w:pPr>
        <w:jc w:val="both"/>
      </w:pPr>
      <w:r>
        <w:rPr>
          <w:rFonts w:ascii="Arial" w:hAnsi="Arial"/>
          <w:sz w:val="22"/>
        </w:rPr>
        <w:t>Anahtar Kelimeler: ISO 50001, vekil model, Kriging, çok amaçlı optimizasyon, NSGA-II, bina enerji simülasyonu, EnergyPlus, duyarlılık analizi.</w:t>
      </w:r>
    </w:p>
    <w:p w14:paraId="2653C749">
      <w:r>
        <w:br w:type="page"/>
      </w:r>
    </w:p>
    <w:p w14:paraId="17FCF395">
      <w:pPr>
        <w:pStyle w:val="2"/>
        <w:jc w:val="center"/>
      </w:pPr>
      <w:bookmarkStart w:id="5" w:name="_Toc19082"/>
      <w:r>
        <w:rPr>
          <w:rFonts w:ascii="Arial" w:hAnsi="Arial"/>
          <w:b/>
          <w:sz w:val="22"/>
        </w:rPr>
        <w:t>ABSTRACT</w:t>
      </w:r>
      <w:bookmarkEnd w:id="5"/>
    </w:p>
    <w:p w14:paraId="739AD28A">
      <w:pPr>
        <w:jc w:val="both"/>
      </w:pPr>
      <w:r>
        <w:rPr>
          <w:rFonts w:ascii="Arial" w:hAnsi="Arial"/>
          <w:sz w:val="22"/>
        </w:rPr>
        <w:t>This study addresses the multi-objective optimisation of annual energy consumption in a 4.246,18 m² campus building classified as a significant energy user, within the framework of the ISO 50001 energy management standard. The proposed method comprises four components: a repaired EnergyPlus baseline model, a training set of 175 simulation runs generated by low-discrepancy Sobol sampling, a Kriging surrogate trained on this set, and a three-objective optimisation carried out with NSGA-II. The objectives are the energy performance indicator (EnPI), investment cost and thermal comfort violation; the constraints are the TS 825 thermal insulation limits, a comfort ceiling, a budget ceiling and a minimum dead band. On an independent test set the surrogate achieved a CVRMSE of 2,75% and a coefficient of determination of 0,994, providing a speed-up of approximately twenty-two million relative to EnergyPlus. Eight points selected from the resulting 80-solution Pareto front were verified against independent EnergyPlus runs, yielding a mean absolute deviation of 1,89% and a maximum deviation of 4,57%. The principal finding is that the initial insulation-centred design hypothesis is refuted by the data: the first-order Sobol index of insulation thickness is 0,0002, whereas that of the chiller COP is 0,5687. The building is cooling-dominated, with cooling accounting for 58,3% of total consumption. The recommended compromise solution reduces EnPI from 125,60 to 73,83 kWh/m²·year.</w:t>
      </w:r>
    </w:p>
    <w:p w14:paraId="25C1686A">
      <w:pPr>
        <w:jc w:val="both"/>
      </w:pPr>
      <w:r>
        <w:rPr>
          <w:rFonts w:ascii="Arial" w:hAnsi="Arial"/>
          <w:sz w:val="22"/>
        </w:rPr>
        <w:t>Keywords: ISO 50001, surrogate model, Kriging, multi-objective optimisation, NSGA-II, building energy simulation, EnergyPlus, sensitivity analysis.</w:t>
      </w:r>
    </w:p>
    <w:p w14:paraId="18E0CE53">
      <w:pPr>
        <w:sectPr>
          <w:footerReference r:id="rId11" w:type="default"/>
          <w:pgSz w:w="12240" w:h="15840"/>
          <w:pgMar w:top="1701" w:right="1417" w:bottom="1417" w:left="1417" w:header="720" w:footer="720" w:gutter="0"/>
          <w:pgNumType w:fmt="lowerRoman" w:start="1"/>
          <w:cols w:space="720" w:num="1"/>
          <w:docGrid w:linePitch="360" w:charSpace="0"/>
        </w:sectPr>
      </w:pPr>
    </w:p>
    <w:p w14:paraId="32477C51">
      <w:pPr>
        <w:pStyle w:val="2"/>
        <w:jc w:val="center"/>
      </w:pPr>
      <w:bookmarkStart w:id="6" w:name="_Toc15250"/>
      <w:r>
        <w:rPr>
          <w:rFonts w:ascii="Arial" w:hAnsi="Arial"/>
          <w:b/>
          <w:sz w:val="22"/>
        </w:rPr>
        <w:t>1. GİRİŞ</w:t>
      </w:r>
      <w:bookmarkEnd w:id="6"/>
    </w:p>
    <w:p w14:paraId="42115FAA">
      <w:pPr>
        <w:jc w:val="both"/>
      </w:pPr>
      <w:r>
        <w:rPr>
          <w:rFonts w:ascii="Arial" w:hAnsi="Arial"/>
          <w:sz w:val="22"/>
        </w:rPr>
        <w:t>Enerji yönetim sistemleri, kuruluşların enerji performansını ölçülebilir biçimde iyileştirmesini hedefler. TS EN ISO 50001 standardı bu iyileştirmeyi sürekli bir çevrim olarak tanımlar ve çevrimin merkezine iki kavramı yerleştirir: enerji taban çizgisi (EnB) ve enerji performans göstergesi (EnPİ). Standardın öngördüğü ilk adım, toplam tüketimin baskın bölümünden sorumlu olan önemli enerji kullanımlarının (SEU) belirlenmesidir. Bu belirleme yapılmadan uygulanan iyileştirme önlemleri, kaynakların düşük getirili alanlara yönlendirilmesiyle sonuçlanabilir.</w:t>
      </w:r>
    </w:p>
    <w:p w14:paraId="52A463B7">
      <w:pPr>
        <w:jc w:val="both"/>
      </w:pPr>
      <w:r>
        <w:rPr>
          <w:rFonts w:ascii="Arial" w:hAnsi="Arial"/>
          <w:sz w:val="22"/>
        </w:rPr>
        <w:t>Bina ölçeğinde enerji iyileştirmesi doğası gereği çok amaçlı bir karar problemidir. Enerji tüketimini azaltan bir müdahale çoğunlukla yatırım maliyeti doğurur; ısıl konforu iyileştiren bir ayar noktası değişikliği ise enerji tüketimini artırabilir. Bu amaçlar arasındaki ödünleşim tek bir optimum çözüm değil, bir Pareto cephesi üretir. Cephenin hesaplanabilmesi için binlerce aday çözümün değerlendirilmesi gerekir. Ayrıntılı bir EnergyPlus koşusu bu çalışmadaki bina için yaklaşık iki dakika sürmektedir; dolayısıyla doğrudan simülasyon tabanlı optimizasyon pratik değildir.</w:t>
      </w:r>
    </w:p>
    <w:p w14:paraId="3D54AE17">
      <w:pPr>
        <w:jc w:val="both"/>
      </w:pPr>
      <w:r>
        <w:rPr>
          <w:rFonts w:ascii="Arial" w:hAnsi="Arial"/>
          <w:sz w:val="22"/>
        </w:rPr>
        <w:t>Vekil model yaklaşımı bu darboğazı, sınırlı sayıda gerçek simülasyon koşusundan öğrenilen istatistiksel bir yaklaşımlayıcı kurarak aşar. Ancak vekil modelin kendi hatası, optimizasyon sürecine sistematik bir yanlılık olarak sızabilir. Bu nedenle vekil model tabanlı bir yöntemin bilimsel geçerliliği, ürettiği çözümlerin bağımsız simülasyonlarla doğrulanmasına bağlıdır. Raporun başlığındaki son ifade olan sayısal doğrulama, tam olarak bu gerekliliğe karşılık gelmektedir.</w:t>
      </w:r>
    </w:p>
    <w:p w14:paraId="2FB6169A">
      <w:pPr>
        <w:pStyle w:val="3"/>
        <w:jc w:val="left"/>
      </w:pPr>
      <w:bookmarkStart w:id="7" w:name="_Toc19122"/>
      <w:r>
        <w:rPr>
          <w:rFonts w:ascii="Arial" w:hAnsi="Arial"/>
          <w:b/>
          <w:sz w:val="22"/>
        </w:rPr>
        <w:t>1.1 Projenin Amacı ve Kapsamı</w:t>
      </w:r>
      <w:bookmarkEnd w:id="7"/>
    </w:p>
    <w:p w14:paraId="06839A73">
      <w:pPr>
        <w:jc w:val="both"/>
      </w:pPr>
      <w:r>
        <w:rPr>
          <w:rFonts w:ascii="Arial" w:hAnsi="Arial"/>
          <w:sz w:val="22"/>
        </w:rPr>
        <w:t>Projenin amacı, önemli enerji kullanıcısı niteliğindeki bir kampüs binası için ISO 50001 uyumlu, vekil model tabanlı bir çok amaçlı optimizasyon yöntemi tasarlamak ve bu yöntemi simülasyon destekli sayısal doğrulamayla sınamaktır. Kapsam üç başlıkta özetlenebilir:</w:t>
      </w:r>
    </w:p>
    <w:p w14:paraId="5093BC1C">
      <w:pPr>
        <w:pStyle w:val="23"/>
        <w:spacing w:after="60" w:line="360" w:lineRule="auto"/>
      </w:pPr>
      <w:r>
        <w:rPr>
          <w:rFonts w:ascii="Arial" w:hAnsi="Arial"/>
          <w:sz w:val="22"/>
        </w:rPr>
        <w:t>Yöntem tasarımı: örnekleme, vekil model kurulumu, duyarlılık analizi, çok amaçlı optimizasyon ve doğrulama adımlarının uçtan uca kurulması.</w:t>
      </w:r>
    </w:p>
    <w:p w14:paraId="12B4DB0A">
      <w:pPr>
        <w:pStyle w:val="23"/>
        <w:spacing w:after="60" w:line="360" w:lineRule="auto"/>
      </w:pPr>
      <w:r>
        <w:rPr>
          <w:rFonts w:ascii="Arial" w:hAnsi="Arial"/>
          <w:sz w:val="22"/>
        </w:rPr>
        <w:t>ISO 50001 entegrasyonu: enerji taban çizgisinin tanımlanması, önemli enerji kullanımlarının belirlenmesi ve iklim normalizasyonu uygulanmış performans göstergelerinin hesaplanması.</w:t>
      </w:r>
    </w:p>
    <w:p w14:paraId="1B2EE1FC">
      <w:pPr>
        <w:pStyle w:val="23"/>
        <w:spacing w:after="60" w:line="360" w:lineRule="auto"/>
      </w:pPr>
      <w:r>
        <w:rPr>
          <w:rFonts w:ascii="Arial" w:hAnsi="Arial"/>
          <w:sz w:val="22"/>
        </w:rPr>
        <w:t>Sayısal doğrulama: Pareto cephesinden seçilen çözümlerin bağımsız EnergyPlus koşularıyla sınanması ve sapmaların raporlanması.</w:t>
      </w:r>
    </w:p>
    <w:p w14:paraId="02738673">
      <w:pPr>
        <w:pStyle w:val="3"/>
        <w:jc w:val="left"/>
      </w:pPr>
      <w:bookmarkStart w:id="8" w:name="_Toc24859"/>
      <w:r>
        <w:rPr>
          <w:rFonts w:ascii="Arial" w:hAnsi="Arial"/>
          <w:b/>
          <w:sz w:val="22"/>
        </w:rPr>
        <w:t>1.2 Başlangıç Hipotezi</w:t>
      </w:r>
      <w:bookmarkEnd w:id="8"/>
    </w:p>
    <w:p w14:paraId="00841DB7">
      <w:pPr>
        <w:jc w:val="both"/>
      </w:pPr>
      <w:r>
        <w:rPr>
          <w:rFonts w:ascii="Arial" w:hAnsi="Arial"/>
          <w:sz w:val="22"/>
        </w:rPr>
        <w:t>Proje, binanın enerji tüketiminin baskın biçimde dış duvar yalıtımının yetersizliğinden kaynaklandığı hipoteziyle kurgulanmıştır. Bu hipotez, ısı yalıtımının ülkemizdeki bina enerji verimliliği uygulamalarında en yaygın müdahale kalemi olmasıyla uyumludur. Raporun ilerleyen bölümlerinde gösterileceği üzere hipotez, bu bina için üç bağımsız kanıt hattıyla reddedilmiştir. Söz konusu red yöntemin başarısızlığı değil, aksine öngörülen işlevini yerine getirdiğinin göstergesidir: nicel duyarlılık analizi, sezgiyle kurulmuş bir tasarım varsayımını ölçülebilir biçimde çürütmüştür.</w:t>
      </w:r>
    </w:p>
    <w:p w14:paraId="0E53899A">
      <w:pPr>
        <w:pStyle w:val="2"/>
        <w:jc w:val="center"/>
      </w:pPr>
      <w:bookmarkStart w:id="9" w:name="_Toc21301"/>
      <w:r>
        <w:rPr>
          <w:rFonts w:ascii="Arial" w:hAnsi="Arial"/>
          <w:b/>
          <w:sz w:val="22"/>
        </w:rPr>
        <w:t>2. LİTERATÜR ÖZETİ</w:t>
      </w:r>
      <w:bookmarkEnd w:id="9"/>
    </w:p>
    <w:p w14:paraId="60C47903">
      <w:pPr>
        <w:pStyle w:val="3"/>
        <w:jc w:val="left"/>
      </w:pPr>
      <w:bookmarkStart w:id="10" w:name="_Toc6867"/>
      <w:r>
        <w:rPr>
          <w:rFonts w:ascii="Arial" w:hAnsi="Arial"/>
          <w:b/>
          <w:sz w:val="22"/>
        </w:rPr>
        <w:t>2.1 Simülasyon Tabanlı Bina Enerjisi Optimizasyonu</w:t>
      </w:r>
      <w:bookmarkEnd w:id="10"/>
    </w:p>
    <w:p w14:paraId="42B18665">
      <w:pPr>
        <w:jc w:val="both"/>
      </w:pPr>
      <w:r>
        <w:rPr>
          <w:rFonts w:ascii="Arial" w:hAnsi="Arial"/>
          <w:sz w:val="22"/>
        </w:rPr>
        <w:t>Bina performansı analizinde simülasyon tabanlı optimizasyon yöntemleri Nguyen vd. (2014) tarafından derlenmiştir. Derlemede, süreksiz ve çok tepeli arama uzaylarındaki dayanıklılıkları nedeniyle evrimsel algoritmaların en yaygın tercih olduğu belirtilmektedir. Çok amaçlı problemlerde baskın yöntem, Deb vd. (2002) tarafından önerilen NSGA-II algoritmasıdır; algoritma baskınlık sıralaması ile kalabalık mesafesi ölçütünü birleştirerek cephe boyunca dağılımı korur. Cephe kalitesinin ölçülmesinde Zitzler ve Thiele (1999) tarafından tanımlanan hipervolüm göstergesi kullanılmaktadır. Kullanılan yazılım uygulaması Blank ve Deb (2020) tarafından geliştirilen pymoo kütüphanesidir.</w:t>
      </w:r>
    </w:p>
    <w:p w14:paraId="32D613ED">
      <w:pPr>
        <w:pStyle w:val="3"/>
        <w:jc w:val="left"/>
      </w:pPr>
      <w:bookmarkStart w:id="11" w:name="_Toc28775"/>
      <w:r>
        <w:rPr>
          <w:rFonts w:ascii="Arial" w:hAnsi="Arial"/>
          <w:b/>
          <w:sz w:val="22"/>
        </w:rPr>
        <w:t>2.2 Vekil Modeller</w:t>
      </w:r>
      <w:bookmarkEnd w:id="11"/>
    </w:p>
    <w:p w14:paraId="5F8487FB">
      <w:pPr>
        <w:jc w:val="both"/>
      </w:pPr>
      <w:r>
        <w:rPr>
          <w:rFonts w:ascii="Arial" w:hAnsi="Arial"/>
          <w:sz w:val="22"/>
        </w:rPr>
        <w:t>Sürdürülebilir bina tasarımında vekil modellerin kullanımı Westermann ve Evins (2019) tarafından derlenmiştir. Derleme, Gauss süreçleri (Kriging) ile yapay sinir ağlarının en sık kullanılan iki aile olduğunu, örneklem büyüklüğünün küçük olduğu durumlarda Kriging'in üstünlük sağladığını ortaya koymaktadır. Kriging'in kuramsal çerçevesi Rasmussen ve Williams (2006) tarafından verilmiştir. Yöntemin bu çalışma açısından kritik özelliği, yalnızca nokta tahmini değil tahmine ilişkin belirsizliği de üretmesidir. Jones vd. (1998), pahalı kara kutu fonksiyonlarının eniyilenmesinde bu belirsizliğin doğrudan kullanılabileceğini göstermiştir; söz konusu fikir bu projede, optimizasyonun vekil model hatasını sömürmesini engellemek üzere uyarlanmıştır.</w:t>
      </w:r>
    </w:p>
    <w:p w14:paraId="5772FDBF">
      <w:pPr>
        <w:pStyle w:val="3"/>
        <w:jc w:val="left"/>
      </w:pPr>
      <w:bookmarkStart w:id="12" w:name="_Toc6101"/>
      <w:r>
        <w:rPr>
          <w:rFonts w:ascii="Arial" w:hAnsi="Arial"/>
          <w:b/>
          <w:sz w:val="22"/>
        </w:rPr>
        <w:t>2.3 Duyarlılık Analizi</w:t>
      </w:r>
      <w:bookmarkEnd w:id="12"/>
    </w:p>
    <w:p w14:paraId="3E175970">
      <w:pPr>
        <w:jc w:val="both"/>
      </w:pPr>
      <w:r>
        <w:rPr>
          <w:rFonts w:ascii="Arial" w:hAnsi="Arial"/>
          <w:sz w:val="22"/>
        </w:rPr>
        <w:t>Varyans temelli küresel duyarlılık analizi Sobol (2001) tarafından tanımlanmış, toplam etki indislerinin verimli kestirimi için kullanılan örnekleme şeması Saltelli vd. (2010) tarafından geliştirilmiştir. Yöntem, model çıktısındaki varyansın hangi girdilere atfedilebileceğini girdiler arası etkileşimleri de hesaba katarak ayrıştırır. Bu özellik ISO 50001'in önemli enerji kullanımı kavramıyla doğrudan örtüşmektedir: her ikisi de sınırlı kaynağın en yüksek etkili kalemlere yönlendirilmesini hedefler.</w:t>
      </w:r>
    </w:p>
    <w:p w14:paraId="651D936D">
      <w:pPr>
        <w:pStyle w:val="3"/>
        <w:jc w:val="left"/>
      </w:pPr>
      <w:bookmarkStart w:id="13" w:name="_Toc24763"/>
      <w:r>
        <w:rPr>
          <w:rFonts w:ascii="Arial" w:hAnsi="Arial"/>
          <w:b/>
          <w:sz w:val="22"/>
        </w:rPr>
        <w:t>2.4 Standartlar ve Doğruluk Ölçütleri</w:t>
      </w:r>
      <w:bookmarkEnd w:id="13"/>
    </w:p>
    <w:p w14:paraId="4175AEF5">
      <w:pPr>
        <w:jc w:val="both"/>
      </w:pPr>
      <w:r>
        <w:rPr>
          <w:rFonts w:ascii="Arial" w:hAnsi="Arial"/>
          <w:sz w:val="22"/>
        </w:rPr>
        <w:t>TS EN ISO 50001 (2018) enerji yönetim sisteminin gereklerini, ISO 50006 (2023) ise enerji taban çizgisi ve performans göstergelerinin ölçüm esaslarını tanımlar. İkinci standart, göstergelerin karşılaştırılabilir olması için ilgili değişkenlere göre normalize edilmesini şart koşar; bina uygulamalarında bu değişken tipik olarak derece-gün sayısıdır. Simülasyon modellerinin ölçülmüş veriye kalibrasyonunda kabul ölçütleri ASHRAE Guideline 14 (2014) tarafından verilmektedir; bu çalışmada aynı istatistikler, yani değişim katsayılı kök ortalama kare hata (CVRMSE) ve normalize ortalama yanlılık hatası (NMBE), vekil model ile EnergyPlus arasındaki uyumun ölçülmesinde kullanılmıştır. Isı yalıtımına ilişkin ulusal sınır değerler TS 825 standardının EK 1-C çizelgesinde iklim bölgelerine göre tanımlanmıştır. Simülasyon motoru olarak kullanılan EnergyPlus, Crawley vd. (2001) tarafından tanıtılmıştır.</w:t>
      </w:r>
    </w:p>
    <w:p w14:paraId="69CBA23E">
      <w:pPr>
        <w:pStyle w:val="3"/>
        <w:jc w:val="left"/>
      </w:pPr>
      <w:bookmarkStart w:id="14" w:name="_Toc24935"/>
      <w:r>
        <w:rPr>
          <w:rFonts w:ascii="Arial" w:hAnsi="Arial"/>
          <w:b/>
          <w:sz w:val="22"/>
        </w:rPr>
        <w:t>2.5 Literatürdeki Boşluk</w:t>
      </w:r>
      <w:bookmarkEnd w:id="14"/>
    </w:p>
    <w:p w14:paraId="0B96B4CB">
      <w:pPr>
        <w:jc w:val="both"/>
      </w:pPr>
      <w:r>
        <w:rPr>
          <w:rFonts w:ascii="Arial" w:hAnsi="Arial"/>
          <w:sz w:val="22"/>
        </w:rPr>
        <w:t>İncelenen çalışmaların büyük bölümünde vekil model, bağımsız bir test kümesindeki doğruluğu raporlandıktan sonra optimizasyonda doğrudan kullanılmakta; optimizasyon sonucu üretilen çözümlerin gerçek simülasyonla yeniden sınanması ise çoğunlukla atlanmaktadır. Oysa optimizasyon, arama uzayında vekil modelin ortalama olarak iyi çalıştığı bölgeleri değil, modelin iyimser tahmin ürettiği bölgeleri arar. Bu ayrım, ortalama model doğruluğunun tek başına yeterli bir güvence olmadığı anlamına gelir. Bu projede söz konusu boşluk hem ölçülmüş hem de giderilmiştir; ayrıntılar Bölüm 4.6 ve Bölüm 5.2'de sunulmaktadır.</w:t>
      </w:r>
    </w:p>
    <w:p w14:paraId="2E9AF0B6">
      <w:pPr>
        <w:pStyle w:val="2"/>
        <w:jc w:val="center"/>
      </w:pPr>
      <w:bookmarkStart w:id="15" w:name="_Toc17024"/>
      <w:r>
        <w:rPr>
          <w:rFonts w:ascii="Arial" w:hAnsi="Arial"/>
          <w:b/>
          <w:sz w:val="22"/>
        </w:rPr>
        <w:t>3. GEREÇ VE YÖNTEM</w:t>
      </w:r>
      <w:bookmarkEnd w:id="15"/>
    </w:p>
    <w:p w14:paraId="45B9D51D">
      <w:pPr>
        <w:pStyle w:val="3"/>
        <w:jc w:val="left"/>
      </w:pPr>
      <w:bookmarkStart w:id="16" w:name="_Toc22092"/>
      <w:r>
        <w:rPr>
          <w:rFonts w:ascii="Arial" w:hAnsi="Arial"/>
          <w:b/>
          <w:sz w:val="22"/>
        </w:rPr>
        <w:t>3.1 Bina ve Simülasyon Modeli</w:t>
      </w:r>
      <w:bookmarkEnd w:id="16"/>
    </w:p>
    <w:p w14:paraId="36340DA4">
      <w:pPr>
        <w:jc w:val="both"/>
      </w:pPr>
      <w:r>
        <w:rPr>
          <w:rFonts w:ascii="Arial" w:hAnsi="Arial"/>
          <w:sz w:val="22"/>
        </w:rPr>
        <w:t>Çalışmaya konu olan yapı, toplam 4.246,18 m² kapalı alana sahip bir kampüs binasıdır. Model 127 mekân, 1.310 yüzey ve 8 ısıl bölge içermektedir. Cephede 114 pencere bulunmakta olup toplam cam alanı 1.628,77 m², brüt duvar alanı 2.072,10 m²'dir; buna karşılık gelen cam-duvar oranı %78,61'dir. Isıtma ve soğutma yükleri altı bölgede dört borulu fan-coil üniteleriyle karşılanmakta, asansör boşluğu ile mekanik oda ise iklimlendirilmemektedir.</w:t>
      </w:r>
    </w:p>
    <w:p w14:paraId="68631F0B">
      <w:pPr>
        <w:jc w:val="both"/>
      </w:pPr>
      <w:r>
        <w:rPr>
          <w:rFonts w:ascii="Arial" w:hAnsi="Arial"/>
          <w:sz w:val="22"/>
        </w:rPr>
        <w:t>Simülasyonlar OpenStudio 3.11.0 üzerinden EnergyPlus motoruyla, saatlik çözünürlükte ve 8.760 saatlik tam yıl için yürütülmüştür. İklim verisi olarak tipik meteorolojik yıl (TMYx) dosyası kullanılmıştır. Söz konusu dosyadan hesaplanan ısıtma derece-gün sayısı (18 °C tabanlı) 1.782,5, soğutma derece-gün sayısı (22 °C tabanlı) ise 557,5'dir.</w:t>
      </w:r>
    </w:p>
    <w:p w14:paraId="0BC5363E">
      <w:pPr>
        <w:pStyle w:val="3"/>
        <w:jc w:val="left"/>
      </w:pPr>
      <w:bookmarkStart w:id="17" w:name="_Toc5199"/>
      <w:r>
        <w:rPr>
          <w:rFonts w:ascii="Arial" w:hAnsi="Arial"/>
          <w:b/>
          <w:sz w:val="22"/>
        </w:rPr>
        <w:t>3.2 Model Onarımı ve Taban Çizgisinin Belirlenmesi</w:t>
      </w:r>
      <w:bookmarkEnd w:id="17"/>
    </w:p>
    <w:p w14:paraId="0F00FAAA">
      <w:pPr>
        <w:jc w:val="both"/>
      </w:pPr>
      <w:r>
        <w:rPr>
          <w:rFonts w:ascii="Arial" w:hAnsi="Arial"/>
          <w:sz w:val="22"/>
        </w:rPr>
        <w:t>Devralınan model üzerinde yürütülen ilk koşu üç adet Severe düzeyinde hata üretmiştir. Optimizasyona geçilmeden önce bu hataların ve bunlara eşlik eden fiziksel tutarsızlıkların giderilmesi gerekmiştir; aksi hâlde tüm sonraki sonuçlar hatalı bir taban üzerine kurulmuş olurdu. Onarım işlemleri kaynak model üzerinde değil, ayrı bir çıktı dosyası üretilerek uygulanmış ve her değişiklik makinece okunabilir bir onarım raporuna kaydedilmiştir. Uygulanan dört düzeltme şunlardır:</w:t>
      </w:r>
    </w:p>
    <w:p w14:paraId="69D34649">
      <w:pPr>
        <w:pStyle w:val="23"/>
        <w:spacing w:after="60" w:line="360" w:lineRule="auto"/>
      </w:pPr>
      <w:r>
        <w:rPr>
          <w:rFonts w:ascii="Arial" w:hAnsi="Arial"/>
          <w:sz w:val="22"/>
        </w:rPr>
        <w:t>Asansör motoru yükü bir mekân tipine bağlı olduğu için dört ayrı asansör boşluğunda yeniden örneklenmiş ve toplam 20.000 W olarak uygulanmıştı; yük tek bir mekâna taşınarak 5.000 W değerine indirilmiştir.</w:t>
      </w:r>
    </w:p>
    <w:p w14:paraId="75D124B1">
      <w:pPr>
        <w:pStyle w:val="23"/>
        <w:spacing w:after="60" w:line="360" w:lineRule="auto"/>
      </w:pPr>
      <w:r>
        <w:rPr>
          <w:rFonts w:ascii="Arial" w:hAnsi="Arial"/>
          <w:sz w:val="22"/>
        </w:rPr>
        <w:t>Havalandırması bulunmayan asansör boşluğuna 0,414 m³/s doğal havalandırma tanımlanmıştır; bölgenin yıllık ortalama sıcaklığı 88,0 °C seviyesinden 21,2 °C seviyesine inmiştir.</w:t>
      </w:r>
    </w:p>
    <w:p w14:paraId="3F461627">
      <w:pPr>
        <w:pStyle w:val="23"/>
        <w:spacing w:after="60" w:line="360" w:lineRule="auto"/>
      </w:pPr>
      <w:r>
        <w:rPr>
          <w:rFonts w:ascii="Arial" w:hAnsi="Arial"/>
          <w:sz w:val="22"/>
        </w:rPr>
        <w:t>Hacimleri hesaplanamayan ve bu nedenle 10 m³ varsayılan değere düşen üç bölgenin hacimleri açıkça tanımlanmıştır. Severe hataların kaynağı budur.</w:t>
      </w:r>
    </w:p>
    <w:p w14:paraId="23E342FB">
      <w:pPr>
        <w:pStyle w:val="23"/>
        <w:spacing w:after="60" w:line="360" w:lineRule="auto"/>
      </w:pPr>
      <w:r>
        <w:rPr>
          <w:rFonts w:ascii="Arial" w:hAnsi="Arial"/>
          <w:sz w:val="22"/>
        </w:rPr>
        <w:t>Hiçbir konstrüksiyonda kullanılmayan ve fiziksel olarak gerçekçi olmayan değerler taşıyan bir cam malzemesi modelden çıkarılmıştır.</w:t>
      </w:r>
    </w:p>
    <w:p w14:paraId="4D965B51">
      <w:pPr>
        <w:jc w:val="both"/>
      </w:pPr>
      <w:r>
        <w:rPr>
          <w:rFonts w:ascii="Arial" w:hAnsi="Arial"/>
          <w:sz w:val="22"/>
        </w:rPr>
        <w:t>Onarım sonrası koşu sıfır Severe hata ile tamamlanmış ve bu koşu çalışmanın enerji taban çizgisi olarak kabul edilmiştir. Onarımın ölçülen etkisi Bölüm 4.1'de verilmiştir.</w:t>
      </w:r>
    </w:p>
    <w:p w14:paraId="0C299AF7">
      <w:pPr>
        <w:pStyle w:val="3"/>
        <w:jc w:val="left"/>
      </w:pPr>
      <w:bookmarkStart w:id="18" w:name="_Toc20989"/>
      <w:r>
        <w:rPr>
          <w:rFonts w:ascii="Arial" w:hAnsi="Arial"/>
          <w:b/>
          <w:sz w:val="22"/>
        </w:rPr>
        <w:t>3.3 Karar Değişkenleri ve Tasarım Uzayı</w:t>
      </w:r>
      <w:bookmarkEnd w:id="18"/>
    </w:p>
    <w:p w14:paraId="140C441E">
      <w:pPr>
        <w:jc w:val="both"/>
      </w:pPr>
      <w:r>
        <w:rPr>
          <w:rFonts w:ascii="Arial" w:hAnsi="Arial"/>
          <w:sz w:val="22"/>
        </w:rPr>
        <w:t>Tasarım uzayı, biri kategorik onu sürekli olmak üzere on bir karar değişkeninden oluşmaktadır. Değişkenler yedi ayrı OpenStudio measure aracılığıyla modele uygulanmaktadır; böylece her aday çözüm, elle müdahale olmaksızın çalıştırılabilir bir simülasyon iş akışına dönüştürülmektedir. Değişkenler, sınır değerleri ve taban çizgisindeki karşılıkları Tablo 3.1'de sunulmuştur.</w:t>
      </w:r>
    </w:p>
    <w:p w14:paraId="5D2ABD26">
      <w:pPr>
        <w:spacing w:before="120" w:after="120" w:line="240" w:lineRule="auto"/>
        <w:jc w:val="left"/>
      </w:pPr>
      <w:r>
        <w:rPr>
          <w:rFonts w:ascii="Arial" w:hAnsi="Arial"/>
          <w:sz w:val="20"/>
        </w:rPr>
        <w:t>Tablo 3.1. Karar değişkenleri ve tasarım uzayı</w:t>
      </w:r>
      <w:bookmarkStart w:id="19" w:name="_Toc15349"/>
      <w:r>
        <w:rPr>
          <w:vanish/>
        </w:rPr>
        <w:fldChar w:fldCharType="begin"/>
      </w:r>
      <w:r>
        <w:rPr>
          <w:vanish/>
        </w:rPr>
        <w:instrText xml:space="preserve"> TC "Tablo 3.1. Karar değişkenleri ve tasarım uzayı" \f t </w:instrText>
      </w:r>
      <w:r>
        <w:rPr>
          <w:vanish/>
        </w:rPr>
        <w:fldChar w:fldCharType="end"/>
      </w:r>
      <w:bookmarkEnd w:id="19"/>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28"/>
        <w:gridCol w:w="1134"/>
        <w:gridCol w:w="1701"/>
        <w:gridCol w:w="2324"/>
      </w:tblGrid>
      <w:tr w14:paraId="2B099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83C1E3E">
            <w:pPr>
              <w:spacing w:before="40" w:after="40" w:line="240" w:lineRule="auto"/>
            </w:pPr>
            <w:r>
              <w:rPr>
                <w:rFonts w:ascii="Arial" w:hAnsi="Arial"/>
                <w:b/>
                <w:sz w:val="20"/>
              </w:rPr>
              <w:t>Karar değişkeni</w:t>
            </w:r>
          </w:p>
        </w:tc>
        <w:tc>
          <w:tcPr>
            <w:tcW w:w="1134" w:type="dxa"/>
          </w:tcPr>
          <w:p w14:paraId="5E783320">
            <w:pPr>
              <w:spacing w:before="40" w:after="40" w:line="240" w:lineRule="auto"/>
            </w:pPr>
            <w:r>
              <w:rPr>
                <w:rFonts w:ascii="Arial" w:hAnsi="Arial"/>
                <w:b/>
                <w:sz w:val="20"/>
              </w:rPr>
              <w:t>Birim</w:t>
            </w:r>
          </w:p>
        </w:tc>
        <w:tc>
          <w:tcPr>
            <w:tcW w:w="1701" w:type="dxa"/>
          </w:tcPr>
          <w:p w14:paraId="34F851A0">
            <w:pPr>
              <w:spacing w:before="40" w:after="40" w:line="240" w:lineRule="auto"/>
            </w:pPr>
            <w:r>
              <w:rPr>
                <w:rFonts w:ascii="Arial" w:hAnsi="Arial"/>
                <w:b/>
                <w:sz w:val="20"/>
              </w:rPr>
              <w:t>Taban çizgisi</w:t>
            </w:r>
          </w:p>
        </w:tc>
        <w:tc>
          <w:tcPr>
            <w:tcW w:w="2324" w:type="dxa"/>
          </w:tcPr>
          <w:p w14:paraId="309D8F29">
            <w:pPr>
              <w:spacing w:before="40" w:after="40" w:line="240" w:lineRule="auto"/>
            </w:pPr>
            <w:r>
              <w:rPr>
                <w:rFonts w:ascii="Arial" w:hAnsi="Arial"/>
                <w:b/>
                <w:sz w:val="20"/>
              </w:rPr>
              <w:t>Tarama aralığı</w:t>
            </w:r>
          </w:p>
        </w:tc>
      </w:tr>
      <w:tr w14:paraId="3ACF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44A45D45">
            <w:pPr>
              <w:spacing w:before="40" w:after="40" w:line="240" w:lineRule="auto"/>
            </w:pPr>
            <w:r>
              <w:rPr>
                <w:rFonts w:ascii="Arial" w:hAnsi="Arial"/>
                <w:b w:val="0"/>
                <w:sz w:val="20"/>
              </w:rPr>
              <w:t>Cam tipi</w:t>
            </w:r>
          </w:p>
        </w:tc>
        <w:tc>
          <w:tcPr>
            <w:tcW w:w="1134" w:type="dxa"/>
          </w:tcPr>
          <w:p w14:paraId="65336788">
            <w:pPr>
              <w:spacing w:before="40" w:after="40" w:line="240" w:lineRule="auto"/>
            </w:pPr>
            <w:r>
              <w:rPr>
                <w:rFonts w:ascii="Arial" w:hAnsi="Arial"/>
                <w:b w:val="0"/>
                <w:sz w:val="20"/>
              </w:rPr>
              <w:t>–</w:t>
            </w:r>
          </w:p>
        </w:tc>
        <w:tc>
          <w:tcPr>
            <w:tcW w:w="1701" w:type="dxa"/>
          </w:tcPr>
          <w:p w14:paraId="1006C227">
            <w:pPr>
              <w:spacing w:before="40" w:after="40" w:line="240" w:lineRule="auto"/>
            </w:pPr>
            <w:r>
              <w:rPr>
                <w:rFonts w:ascii="Arial" w:hAnsi="Arial"/>
                <w:b w:val="0"/>
                <w:sz w:val="20"/>
              </w:rPr>
              <w:t>penc_std_4mm</w:t>
            </w:r>
          </w:p>
        </w:tc>
        <w:tc>
          <w:tcPr>
            <w:tcW w:w="2324" w:type="dxa"/>
          </w:tcPr>
          <w:p w14:paraId="202FDC4D">
            <w:pPr>
              <w:spacing w:before="40" w:after="40" w:line="240" w:lineRule="auto"/>
            </w:pPr>
            <w:r>
              <w:rPr>
                <w:rFonts w:ascii="Arial" w:hAnsi="Arial"/>
                <w:b w:val="0"/>
                <w:sz w:val="20"/>
              </w:rPr>
              <w:t>7 seçenek</w:t>
            </w:r>
          </w:p>
        </w:tc>
      </w:tr>
      <w:tr w14:paraId="59269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5DB7D6D8">
            <w:pPr>
              <w:spacing w:before="40" w:after="40" w:line="240" w:lineRule="auto"/>
            </w:pPr>
            <w:r>
              <w:rPr>
                <w:rFonts w:ascii="Arial" w:hAnsi="Arial"/>
                <w:b w:val="0"/>
                <w:sz w:val="20"/>
              </w:rPr>
              <w:t>Isıtma ayar noktası</w:t>
            </w:r>
          </w:p>
        </w:tc>
        <w:tc>
          <w:tcPr>
            <w:tcW w:w="1134" w:type="dxa"/>
          </w:tcPr>
          <w:p w14:paraId="22844E3F">
            <w:pPr>
              <w:spacing w:before="40" w:after="40" w:line="240" w:lineRule="auto"/>
            </w:pPr>
            <w:r>
              <w:rPr>
                <w:rFonts w:ascii="Arial" w:hAnsi="Arial"/>
                <w:b w:val="0"/>
                <w:sz w:val="20"/>
              </w:rPr>
              <w:t>C</w:t>
            </w:r>
          </w:p>
        </w:tc>
        <w:tc>
          <w:tcPr>
            <w:tcW w:w="1701" w:type="dxa"/>
          </w:tcPr>
          <w:p w14:paraId="00D1989F">
            <w:pPr>
              <w:spacing w:before="40" w:after="40" w:line="240" w:lineRule="auto"/>
            </w:pPr>
            <w:r>
              <w:rPr>
                <w:rFonts w:ascii="Arial" w:hAnsi="Arial"/>
                <w:b w:val="0"/>
                <w:sz w:val="20"/>
              </w:rPr>
              <w:t>22,000</w:t>
            </w:r>
          </w:p>
        </w:tc>
        <w:tc>
          <w:tcPr>
            <w:tcW w:w="2324" w:type="dxa"/>
          </w:tcPr>
          <w:p w14:paraId="71328E39">
            <w:pPr>
              <w:spacing w:before="40" w:after="40" w:line="240" w:lineRule="auto"/>
            </w:pPr>
            <w:r>
              <w:rPr>
                <w:rFonts w:ascii="Arial" w:hAnsi="Arial"/>
                <w:b w:val="0"/>
                <w:sz w:val="20"/>
              </w:rPr>
              <w:t>15,000 – 24,000</w:t>
            </w:r>
          </w:p>
        </w:tc>
      </w:tr>
      <w:tr w14:paraId="5084E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EB1519D">
            <w:pPr>
              <w:spacing w:before="40" w:after="40" w:line="240" w:lineRule="auto"/>
            </w:pPr>
            <w:r>
              <w:rPr>
                <w:rFonts w:ascii="Arial" w:hAnsi="Arial"/>
                <w:b w:val="0"/>
                <w:sz w:val="20"/>
              </w:rPr>
              <w:t>Soğutma ayar noktası</w:t>
            </w:r>
          </w:p>
        </w:tc>
        <w:tc>
          <w:tcPr>
            <w:tcW w:w="1134" w:type="dxa"/>
          </w:tcPr>
          <w:p w14:paraId="0DE078F2">
            <w:pPr>
              <w:spacing w:before="40" w:after="40" w:line="240" w:lineRule="auto"/>
            </w:pPr>
            <w:r>
              <w:rPr>
                <w:rFonts w:ascii="Arial" w:hAnsi="Arial"/>
                <w:b w:val="0"/>
                <w:sz w:val="20"/>
              </w:rPr>
              <w:t>C</w:t>
            </w:r>
          </w:p>
        </w:tc>
        <w:tc>
          <w:tcPr>
            <w:tcW w:w="1701" w:type="dxa"/>
          </w:tcPr>
          <w:p w14:paraId="423F888E">
            <w:pPr>
              <w:spacing w:before="40" w:after="40" w:line="240" w:lineRule="auto"/>
            </w:pPr>
            <w:r>
              <w:rPr>
                <w:rFonts w:ascii="Arial" w:hAnsi="Arial"/>
                <w:b w:val="0"/>
                <w:sz w:val="20"/>
              </w:rPr>
              <w:t>24,000</w:t>
            </w:r>
          </w:p>
        </w:tc>
        <w:tc>
          <w:tcPr>
            <w:tcW w:w="2324" w:type="dxa"/>
          </w:tcPr>
          <w:p w14:paraId="432A1B17">
            <w:pPr>
              <w:spacing w:before="40" w:after="40" w:line="240" w:lineRule="auto"/>
            </w:pPr>
            <w:r>
              <w:rPr>
                <w:rFonts w:ascii="Arial" w:hAnsi="Arial"/>
                <w:b w:val="0"/>
                <w:sz w:val="20"/>
              </w:rPr>
              <w:t>22,000 – 30,000</w:t>
            </w:r>
          </w:p>
        </w:tc>
      </w:tr>
      <w:tr w14:paraId="56FE8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1952494B">
            <w:pPr>
              <w:spacing w:before="40" w:after="40" w:line="240" w:lineRule="auto"/>
            </w:pPr>
            <w:r>
              <w:rPr>
                <w:rFonts w:ascii="Arial" w:hAnsi="Arial"/>
                <w:b w:val="0"/>
                <w:sz w:val="20"/>
              </w:rPr>
              <w:t>Chiller COP</w:t>
            </w:r>
          </w:p>
        </w:tc>
        <w:tc>
          <w:tcPr>
            <w:tcW w:w="1134" w:type="dxa"/>
          </w:tcPr>
          <w:p w14:paraId="3F113880">
            <w:pPr>
              <w:spacing w:before="40" w:after="40" w:line="240" w:lineRule="auto"/>
            </w:pPr>
            <w:r>
              <w:rPr>
                <w:rFonts w:ascii="Arial" w:hAnsi="Arial"/>
                <w:b w:val="0"/>
                <w:sz w:val="20"/>
              </w:rPr>
              <w:t>W/W</w:t>
            </w:r>
          </w:p>
        </w:tc>
        <w:tc>
          <w:tcPr>
            <w:tcW w:w="1701" w:type="dxa"/>
          </w:tcPr>
          <w:p w14:paraId="289CA312">
            <w:pPr>
              <w:spacing w:before="40" w:after="40" w:line="240" w:lineRule="auto"/>
            </w:pPr>
            <w:r>
              <w:rPr>
                <w:rFonts w:ascii="Arial" w:hAnsi="Arial"/>
                <w:b w:val="0"/>
                <w:sz w:val="20"/>
              </w:rPr>
              <w:t>5,500</w:t>
            </w:r>
          </w:p>
        </w:tc>
        <w:tc>
          <w:tcPr>
            <w:tcW w:w="2324" w:type="dxa"/>
          </w:tcPr>
          <w:p w14:paraId="1B7DF6A8">
            <w:pPr>
              <w:spacing w:before="40" w:after="40" w:line="240" w:lineRule="auto"/>
            </w:pPr>
            <w:r>
              <w:rPr>
                <w:rFonts w:ascii="Arial" w:hAnsi="Arial"/>
                <w:b w:val="0"/>
                <w:sz w:val="20"/>
              </w:rPr>
              <w:t>2,000 – 8,000</w:t>
            </w:r>
          </w:p>
        </w:tc>
      </w:tr>
      <w:tr w14:paraId="623EB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43C9FB83">
            <w:pPr>
              <w:spacing w:before="40" w:after="40" w:line="240" w:lineRule="auto"/>
            </w:pPr>
            <w:r>
              <w:rPr>
                <w:rFonts w:ascii="Arial" w:hAnsi="Arial"/>
                <w:b w:val="0"/>
                <w:sz w:val="20"/>
              </w:rPr>
              <w:t>Kazan verimi</w:t>
            </w:r>
          </w:p>
        </w:tc>
        <w:tc>
          <w:tcPr>
            <w:tcW w:w="1134" w:type="dxa"/>
          </w:tcPr>
          <w:p w14:paraId="6DA694BE">
            <w:pPr>
              <w:spacing w:before="40" w:after="40" w:line="240" w:lineRule="auto"/>
            </w:pPr>
            <w:r>
              <w:rPr>
                <w:rFonts w:ascii="Arial" w:hAnsi="Arial"/>
                <w:b w:val="0"/>
                <w:sz w:val="20"/>
              </w:rPr>
              <w:t>–</w:t>
            </w:r>
          </w:p>
        </w:tc>
        <w:tc>
          <w:tcPr>
            <w:tcW w:w="1701" w:type="dxa"/>
          </w:tcPr>
          <w:p w14:paraId="4C73412C">
            <w:pPr>
              <w:spacing w:before="40" w:after="40" w:line="240" w:lineRule="auto"/>
            </w:pPr>
            <w:r>
              <w:rPr>
                <w:rFonts w:ascii="Arial" w:hAnsi="Arial"/>
                <w:b w:val="0"/>
                <w:sz w:val="20"/>
              </w:rPr>
              <w:t>0,900</w:t>
            </w:r>
          </w:p>
        </w:tc>
        <w:tc>
          <w:tcPr>
            <w:tcW w:w="2324" w:type="dxa"/>
          </w:tcPr>
          <w:p w14:paraId="70883886">
            <w:pPr>
              <w:spacing w:before="40" w:after="40" w:line="240" w:lineRule="auto"/>
            </w:pPr>
            <w:r>
              <w:rPr>
                <w:rFonts w:ascii="Arial" w:hAnsi="Arial"/>
                <w:b w:val="0"/>
                <w:sz w:val="20"/>
              </w:rPr>
              <w:t>0,600 – 0,990</w:t>
            </w:r>
          </w:p>
        </w:tc>
      </w:tr>
      <w:tr w14:paraId="6ED26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0B47D668">
            <w:pPr>
              <w:spacing w:before="40" w:after="40" w:line="240" w:lineRule="auto"/>
            </w:pPr>
            <w:r>
              <w:rPr>
                <w:rFonts w:ascii="Arial" w:hAnsi="Arial"/>
                <w:b w:val="0"/>
                <w:sz w:val="20"/>
              </w:rPr>
              <w:t>Aydınlatma – ofis, salon, atölye</w:t>
            </w:r>
          </w:p>
        </w:tc>
        <w:tc>
          <w:tcPr>
            <w:tcW w:w="1134" w:type="dxa"/>
          </w:tcPr>
          <w:p w14:paraId="4448E466">
            <w:pPr>
              <w:spacing w:before="40" w:after="40" w:line="240" w:lineRule="auto"/>
            </w:pPr>
            <w:r>
              <w:rPr>
                <w:rFonts w:ascii="Arial" w:hAnsi="Arial"/>
                <w:b w:val="0"/>
                <w:sz w:val="20"/>
              </w:rPr>
              <w:t>W/m2</w:t>
            </w:r>
          </w:p>
        </w:tc>
        <w:tc>
          <w:tcPr>
            <w:tcW w:w="1701" w:type="dxa"/>
          </w:tcPr>
          <w:p w14:paraId="090D182C">
            <w:pPr>
              <w:spacing w:before="40" w:after="40" w:line="240" w:lineRule="auto"/>
            </w:pPr>
            <w:r>
              <w:rPr>
                <w:rFonts w:ascii="Arial" w:hAnsi="Arial"/>
                <w:b w:val="0"/>
                <w:sz w:val="20"/>
              </w:rPr>
              <w:t>7,000</w:t>
            </w:r>
          </w:p>
        </w:tc>
        <w:tc>
          <w:tcPr>
            <w:tcW w:w="2324" w:type="dxa"/>
          </w:tcPr>
          <w:p w14:paraId="6AB0BA7B">
            <w:pPr>
              <w:spacing w:before="40" w:after="40" w:line="240" w:lineRule="auto"/>
            </w:pPr>
            <w:r>
              <w:rPr>
                <w:rFonts w:ascii="Arial" w:hAnsi="Arial"/>
                <w:b w:val="0"/>
                <w:sz w:val="20"/>
              </w:rPr>
              <w:t>1,000 – 15,000</w:t>
            </w:r>
          </w:p>
        </w:tc>
      </w:tr>
      <w:tr w14:paraId="61392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1D02BABA">
            <w:pPr>
              <w:spacing w:before="40" w:after="40" w:line="240" w:lineRule="auto"/>
            </w:pPr>
            <w:r>
              <w:rPr>
                <w:rFonts w:ascii="Arial" w:hAnsi="Arial"/>
                <w:b w:val="0"/>
                <w:sz w:val="20"/>
              </w:rPr>
              <w:t>Aydınlatma – koridor, merdiven, WC</w:t>
            </w:r>
          </w:p>
        </w:tc>
        <w:tc>
          <w:tcPr>
            <w:tcW w:w="1134" w:type="dxa"/>
          </w:tcPr>
          <w:p w14:paraId="607CCEE5">
            <w:pPr>
              <w:spacing w:before="40" w:after="40" w:line="240" w:lineRule="auto"/>
            </w:pPr>
            <w:r>
              <w:rPr>
                <w:rFonts w:ascii="Arial" w:hAnsi="Arial"/>
                <w:b w:val="0"/>
                <w:sz w:val="20"/>
              </w:rPr>
              <w:t>W/m2</w:t>
            </w:r>
          </w:p>
        </w:tc>
        <w:tc>
          <w:tcPr>
            <w:tcW w:w="1701" w:type="dxa"/>
          </w:tcPr>
          <w:p w14:paraId="66EBD614">
            <w:pPr>
              <w:spacing w:before="40" w:after="40" w:line="240" w:lineRule="auto"/>
            </w:pPr>
            <w:r>
              <w:rPr>
                <w:rFonts w:ascii="Arial" w:hAnsi="Arial"/>
                <w:b w:val="0"/>
                <w:sz w:val="20"/>
              </w:rPr>
              <w:t>3,000</w:t>
            </w:r>
          </w:p>
        </w:tc>
        <w:tc>
          <w:tcPr>
            <w:tcW w:w="2324" w:type="dxa"/>
          </w:tcPr>
          <w:p w14:paraId="54C44DEB">
            <w:pPr>
              <w:spacing w:before="40" w:after="40" w:line="240" w:lineRule="auto"/>
            </w:pPr>
            <w:r>
              <w:rPr>
                <w:rFonts w:ascii="Arial" w:hAnsi="Arial"/>
                <w:b w:val="0"/>
                <w:sz w:val="20"/>
              </w:rPr>
              <w:t>0,500 – 8,000</w:t>
            </w:r>
          </w:p>
        </w:tc>
      </w:tr>
      <w:tr w14:paraId="1D8B7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49999931">
            <w:pPr>
              <w:spacing w:before="40" w:after="40" w:line="240" w:lineRule="auto"/>
            </w:pPr>
            <w:r>
              <w:rPr>
                <w:rFonts w:ascii="Arial" w:hAnsi="Arial"/>
                <w:b w:val="0"/>
                <w:sz w:val="20"/>
              </w:rPr>
              <w:t>Sızdırmazlık çarpanı</w:t>
            </w:r>
          </w:p>
        </w:tc>
        <w:tc>
          <w:tcPr>
            <w:tcW w:w="1134" w:type="dxa"/>
          </w:tcPr>
          <w:p w14:paraId="22F75719">
            <w:pPr>
              <w:spacing w:before="40" w:after="40" w:line="240" w:lineRule="auto"/>
            </w:pPr>
            <w:r>
              <w:rPr>
                <w:rFonts w:ascii="Arial" w:hAnsi="Arial"/>
                <w:b w:val="0"/>
                <w:sz w:val="20"/>
              </w:rPr>
              <w:t>–</w:t>
            </w:r>
          </w:p>
        </w:tc>
        <w:tc>
          <w:tcPr>
            <w:tcW w:w="1701" w:type="dxa"/>
          </w:tcPr>
          <w:p w14:paraId="45BD5CDA">
            <w:pPr>
              <w:spacing w:before="40" w:after="40" w:line="240" w:lineRule="auto"/>
            </w:pPr>
            <w:r>
              <w:rPr>
                <w:rFonts w:ascii="Arial" w:hAnsi="Arial"/>
                <w:b w:val="0"/>
                <w:sz w:val="20"/>
              </w:rPr>
              <w:t>1,000</w:t>
            </w:r>
          </w:p>
        </w:tc>
        <w:tc>
          <w:tcPr>
            <w:tcW w:w="2324" w:type="dxa"/>
          </w:tcPr>
          <w:p w14:paraId="229974A9">
            <w:pPr>
              <w:spacing w:before="40" w:after="40" w:line="240" w:lineRule="auto"/>
            </w:pPr>
            <w:r>
              <w:rPr>
                <w:rFonts w:ascii="Arial" w:hAnsi="Arial"/>
                <w:b w:val="0"/>
                <w:sz w:val="20"/>
              </w:rPr>
              <w:t>0,300 – 1,500</w:t>
            </w:r>
          </w:p>
        </w:tc>
      </w:tr>
      <w:tr w14:paraId="3DD11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DB5B6CC">
            <w:pPr>
              <w:spacing w:before="40" w:after="40" w:line="240" w:lineRule="auto"/>
            </w:pPr>
            <w:r>
              <w:rPr>
                <w:rFonts w:ascii="Arial" w:hAnsi="Arial"/>
                <w:b w:val="0"/>
                <w:sz w:val="20"/>
              </w:rPr>
              <w:t>Asansör motoru gücü</w:t>
            </w:r>
          </w:p>
        </w:tc>
        <w:tc>
          <w:tcPr>
            <w:tcW w:w="1134" w:type="dxa"/>
          </w:tcPr>
          <w:p w14:paraId="652C3020">
            <w:pPr>
              <w:spacing w:before="40" w:after="40" w:line="240" w:lineRule="auto"/>
            </w:pPr>
            <w:r>
              <w:rPr>
                <w:rFonts w:ascii="Arial" w:hAnsi="Arial"/>
                <w:b w:val="0"/>
                <w:sz w:val="20"/>
              </w:rPr>
              <w:t>W</w:t>
            </w:r>
          </w:p>
        </w:tc>
        <w:tc>
          <w:tcPr>
            <w:tcW w:w="1701" w:type="dxa"/>
          </w:tcPr>
          <w:p w14:paraId="0E571575">
            <w:pPr>
              <w:spacing w:before="40" w:after="40" w:line="240" w:lineRule="auto"/>
            </w:pPr>
            <w:r>
              <w:rPr>
                <w:rFonts w:ascii="Arial" w:hAnsi="Arial"/>
                <w:b w:val="0"/>
                <w:sz w:val="20"/>
              </w:rPr>
              <w:t>5.000,000</w:t>
            </w:r>
          </w:p>
        </w:tc>
        <w:tc>
          <w:tcPr>
            <w:tcW w:w="2324" w:type="dxa"/>
          </w:tcPr>
          <w:p w14:paraId="081C8FA1">
            <w:pPr>
              <w:spacing w:before="40" w:after="40" w:line="240" w:lineRule="auto"/>
            </w:pPr>
            <w:r>
              <w:rPr>
                <w:rFonts w:ascii="Arial" w:hAnsi="Arial"/>
                <w:b w:val="0"/>
                <w:sz w:val="20"/>
              </w:rPr>
              <w:t>500,000 – 8.000,000</w:t>
            </w:r>
          </w:p>
        </w:tc>
      </w:tr>
      <w:tr w14:paraId="5D1FA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5C3F074">
            <w:pPr>
              <w:spacing w:before="40" w:after="40" w:line="240" w:lineRule="auto"/>
            </w:pPr>
            <w:r>
              <w:rPr>
                <w:rFonts w:ascii="Arial" w:hAnsi="Arial"/>
                <w:b w:val="0"/>
                <w:sz w:val="20"/>
              </w:rPr>
              <w:t>EPS kalınlığı</w:t>
            </w:r>
          </w:p>
        </w:tc>
        <w:tc>
          <w:tcPr>
            <w:tcW w:w="1134" w:type="dxa"/>
          </w:tcPr>
          <w:p w14:paraId="6CD09395">
            <w:pPr>
              <w:spacing w:before="40" w:after="40" w:line="240" w:lineRule="auto"/>
            </w:pPr>
            <w:r>
              <w:rPr>
                <w:rFonts w:ascii="Arial" w:hAnsi="Arial"/>
                <w:b w:val="0"/>
                <w:sz w:val="20"/>
              </w:rPr>
              <w:t>cm</w:t>
            </w:r>
          </w:p>
        </w:tc>
        <w:tc>
          <w:tcPr>
            <w:tcW w:w="1701" w:type="dxa"/>
          </w:tcPr>
          <w:p w14:paraId="0B7F0DA1">
            <w:pPr>
              <w:spacing w:before="40" w:after="40" w:line="240" w:lineRule="auto"/>
            </w:pPr>
            <w:r>
              <w:rPr>
                <w:rFonts w:ascii="Arial" w:hAnsi="Arial"/>
                <w:b w:val="0"/>
                <w:sz w:val="20"/>
              </w:rPr>
              <w:t>5,000</w:t>
            </w:r>
          </w:p>
        </w:tc>
        <w:tc>
          <w:tcPr>
            <w:tcW w:w="2324" w:type="dxa"/>
          </w:tcPr>
          <w:p w14:paraId="6532C140">
            <w:pPr>
              <w:spacing w:before="40" w:after="40" w:line="240" w:lineRule="auto"/>
            </w:pPr>
            <w:r>
              <w:rPr>
                <w:rFonts w:ascii="Arial" w:hAnsi="Arial"/>
                <w:b w:val="0"/>
                <w:sz w:val="20"/>
              </w:rPr>
              <w:t>0,500 – 30,000</w:t>
            </w:r>
          </w:p>
        </w:tc>
      </w:tr>
      <w:tr w14:paraId="70ACA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6BEBC0E">
            <w:pPr>
              <w:spacing w:before="40" w:after="40" w:line="240" w:lineRule="auto"/>
            </w:pPr>
            <w:r>
              <w:rPr>
                <w:rFonts w:ascii="Arial" w:hAnsi="Arial"/>
                <w:b w:val="0"/>
                <w:sz w:val="20"/>
              </w:rPr>
              <w:t>EPS ısıl iletkenliği</w:t>
            </w:r>
          </w:p>
        </w:tc>
        <w:tc>
          <w:tcPr>
            <w:tcW w:w="1134" w:type="dxa"/>
          </w:tcPr>
          <w:p w14:paraId="32CD972F">
            <w:pPr>
              <w:spacing w:before="40" w:after="40" w:line="240" w:lineRule="auto"/>
            </w:pPr>
            <w:r>
              <w:rPr>
                <w:rFonts w:ascii="Arial" w:hAnsi="Arial"/>
                <w:b w:val="0"/>
                <w:sz w:val="20"/>
              </w:rPr>
              <w:t>W/mK</w:t>
            </w:r>
          </w:p>
        </w:tc>
        <w:tc>
          <w:tcPr>
            <w:tcW w:w="1701" w:type="dxa"/>
          </w:tcPr>
          <w:p w14:paraId="46CB1807">
            <w:pPr>
              <w:spacing w:before="40" w:after="40" w:line="240" w:lineRule="auto"/>
            </w:pPr>
            <w:r>
              <w:rPr>
                <w:rFonts w:ascii="Arial" w:hAnsi="Arial"/>
                <w:b w:val="0"/>
                <w:sz w:val="20"/>
              </w:rPr>
              <w:t>0,039</w:t>
            </w:r>
          </w:p>
        </w:tc>
        <w:tc>
          <w:tcPr>
            <w:tcW w:w="2324" w:type="dxa"/>
          </w:tcPr>
          <w:p w14:paraId="4F7B269E">
            <w:pPr>
              <w:spacing w:before="40" w:after="40" w:line="240" w:lineRule="auto"/>
            </w:pPr>
            <w:r>
              <w:rPr>
                <w:rFonts w:ascii="Arial" w:hAnsi="Arial"/>
                <w:b w:val="0"/>
                <w:sz w:val="20"/>
              </w:rPr>
              <w:t>0,015 – 0,060</w:t>
            </w:r>
          </w:p>
        </w:tc>
      </w:tr>
    </w:tbl>
    <w:p w14:paraId="58060985">
      <w:pPr>
        <w:jc w:val="both"/>
      </w:pPr>
      <w:r>
        <w:rPr>
          <w:rFonts w:ascii="Arial" w:hAnsi="Arial"/>
          <w:sz w:val="22"/>
        </w:rPr>
        <w:t>Isıtma ve soğutma ayar noktaları arasında asgari 0,5 K ölü bant bulunması koşulu, hem örnekleme hem de optimizasyon aşamasında zorlanmaktadır. Bu koşul sağlanmadığında EnergyPlus fiziksel olarak anlamsız bir kontrol durumuna girmektedir.</w:t>
      </w:r>
    </w:p>
    <w:p w14:paraId="5CC8AA48">
      <w:pPr>
        <w:pStyle w:val="3"/>
        <w:jc w:val="left"/>
      </w:pPr>
      <w:bookmarkStart w:id="20" w:name="_Toc17917"/>
      <w:r>
        <w:rPr>
          <w:rFonts w:ascii="Arial" w:hAnsi="Arial"/>
          <w:b/>
          <w:sz w:val="22"/>
        </w:rPr>
        <w:t>3.4 Deney Tasarımı</w:t>
      </w:r>
      <w:bookmarkEnd w:id="20"/>
    </w:p>
    <w:p w14:paraId="1EF59160">
      <w:pPr>
        <w:jc w:val="both"/>
      </w:pPr>
      <w:r>
        <w:rPr>
          <w:rFonts w:ascii="Arial" w:hAnsi="Arial"/>
          <w:sz w:val="22"/>
        </w:rPr>
        <w:t>Eğitim kümesi, Sobol düşük tutarsızlıklı dizisiyle üretilmiştir. Düşük tutarsızlıklı diziler, aynı örneklem büyüklüğünde rastgele örneklemeye kıyasla tasarım uzayını daha düzgün tarar ve vekil model doğruluğunu artırır. Taban çizgisine karşılık gelen nokta daima kümenin ilk elemanı olarak yer almaktadır. Başlangıçta 151 nokta üretilmiş, adaptif örnekleme turlarında doğrulama noktaları eğitim kümesine eklenerek küme 175 satıra çıkarılmıştır.</w:t>
      </w:r>
    </w:p>
    <w:p w14:paraId="71DC2A86">
      <w:pPr>
        <w:jc w:val="both"/>
      </w:pPr>
      <w:r>
        <w:rPr>
          <w:rFonts w:ascii="Arial" w:hAnsi="Arial"/>
          <w:sz w:val="22"/>
        </w:rPr>
        <w:t>Her koşunun eksiksiz tamamlandığı, EnergyPlus çıktı dosyasındaki tamamlanma kaydı üzerinden denetlenmektedir. Yarım kalan koşular hasat edilmemekte, böylece sıfır enerjili yapay satırların eğitim kümesini kirletmesi engellenmektedir.</w:t>
      </w:r>
    </w:p>
    <w:p w14:paraId="59805084">
      <w:pPr>
        <w:pStyle w:val="3"/>
        <w:jc w:val="left"/>
      </w:pPr>
      <w:bookmarkStart w:id="21" w:name="_Toc26192"/>
      <w:r>
        <w:rPr>
          <w:rFonts w:ascii="Arial" w:hAnsi="Arial"/>
          <w:b/>
          <w:sz w:val="22"/>
        </w:rPr>
        <w:t>3.5 Vekil Model Kurulumu</w:t>
      </w:r>
      <w:bookmarkEnd w:id="21"/>
    </w:p>
    <w:p w14:paraId="75FB60A3">
      <w:pPr>
        <w:jc w:val="both"/>
      </w:pPr>
      <w:r>
        <w:rPr>
          <w:rFonts w:ascii="Arial" w:hAnsi="Arial"/>
          <w:sz w:val="22"/>
        </w:rPr>
        <w:t>Her hedef değişken için üç aday model yarıştırılmıştır: sırt regresyonuyla düzenlileştirilmiş polinom modeli, Matérn çekirdekli Gauss süreci (Kriging) ve histogram tabanlı gradyan artırma. Model seçimi çapraz doğrulama başarımına göre yapılmakta, seçilen model 35 satırlık bağımsız bir test kümesinde sınanmaktadır.</w:t>
      </w:r>
    </w:p>
    <w:p w14:paraId="02F06EBA">
      <w:pPr>
        <w:jc w:val="both"/>
      </w:pPr>
      <w:r>
        <w:rPr>
          <w:rFonts w:ascii="Arial" w:hAnsi="Arial"/>
          <w:sz w:val="22"/>
        </w:rPr>
        <w:t>Ham karar değişkenlerine ek olarak fiziğe dayalı türetilmiş öznitelikler tanımlanmıştır: chiller COP ve kazan veriminin çarpmaya göre tersleri, katman kalınlığı ile ısıl iletkenlikten hesaplanan duvar U değeri ve ayar noktaları arasındaki ölü bant. Bu öznitelikler, enerji tüketiminin söz konusu büyüklüklerle doğrusal değil ters orantılı ilişkisini modele doğrudan aktarmaktadır. Türetilmiş özniteliklerin eklenmesi, toplam saha enerjisi hedefindeki CVRMSE değerini %14,65 seviyesinden %6,19 seviyesine indirmiştir. Kategorik cam tipi değişkeni birebir kodlama ile sayısallaştırılmakta, toplam öznitelik sayısı 21 olmaktadır.</w:t>
      </w:r>
    </w:p>
    <w:p w14:paraId="60F0C66D">
      <w:pPr>
        <w:jc w:val="both"/>
      </w:pPr>
      <w:r>
        <w:rPr>
          <w:rFonts w:ascii="Arial" w:hAnsi="Arial"/>
          <w:sz w:val="22"/>
        </w:rPr>
        <w:t>Doğruluk ölçütü hedefin dağılımına göre seçilmektedir. Yoğun dağılımlı hedeflerde ASHRAE Guideline 14 uyarınca CVRMSE kullanılmaktadır. Buna karşılık ısıtma enerjisi ve konfor ihlali gibi değerlerin büyük bölümünün sıfıra yakın olduğu seyrek hedeflerde CVRMSE, ortalamanın küçüklüğü nedeniyle yanıltıcı biçimde büyümektedir; bu hedeflerde değer aralığına göre normalize edilmiş kök ortalama kare hata ile belirlilik katsayısı birlikte kullanılmaktadır.</w:t>
      </w:r>
    </w:p>
    <w:p w14:paraId="5E828C3F">
      <w:pPr>
        <w:pStyle w:val="3"/>
        <w:jc w:val="left"/>
      </w:pPr>
      <w:bookmarkStart w:id="22" w:name="_Toc17939"/>
      <w:r>
        <w:rPr>
          <w:rFonts w:ascii="Arial" w:hAnsi="Arial"/>
          <w:b/>
          <w:sz w:val="22"/>
        </w:rPr>
        <w:t>3.6 Duyarlılık Analizi</w:t>
      </w:r>
      <w:bookmarkEnd w:id="22"/>
    </w:p>
    <w:p w14:paraId="2D5F8B6D">
      <w:pPr>
        <w:jc w:val="both"/>
      </w:pPr>
      <w:r>
        <w:rPr>
          <w:rFonts w:ascii="Arial" w:hAnsi="Arial"/>
          <w:sz w:val="22"/>
        </w:rPr>
        <w:t>Küresel duyarlılık analizi, eğitilmiş vekil model üzerinde Saltelli örnekleme şemasıyla yürütülmüştür. Her karar değişkeni için birinci mertebe indisi ve toplam etki indisi hesaplanmaktadır. Birinci mertebe indisi, değişkenin tek başına açıkladığı varyans payını; toplam etki indisi ise değişkenin diğer değişkenlerle etkileşimleri dâhil toplam katkısını verir. Analizin vekil model üzerinde yürütülmesi, doğrudan EnergyPlus ile yapılması hâlinde gereken on binlerce koşuyu gereksiz kılmaktadır.</w:t>
      </w:r>
    </w:p>
    <w:p w14:paraId="4FBBD55F">
      <w:pPr>
        <w:pStyle w:val="3"/>
        <w:jc w:val="left"/>
      </w:pPr>
      <w:bookmarkStart w:id="23" w:name="_Toc904"/>
      <w:r>
        <w:rPr>
          <w:rFonts w:ascii="Arial" w:hAnsi="Arial"/>
          <w:b/>
          <w:sz w:val="22"/>
        </w:rPr>
        <w:t>3.7 ISO 50001 Çerçevesinin Uygulanması</w:t>
      </w:r>
      <w:bookmarkEnd w:id="23"/>
    </w:p>
    <w:p w14:paraId="3287A7D2">
      <w:pPr>
        <w:jc w:val="both"/>
      </w:pPr>
      <w:r>
        <w:rPr>
          <w:rFonts w:ascii="Arial" w:hAnsi="Arial"/>
          <w:sz w:val="22"/>
        </w:rPr>
        <w:t>Enerji taban çizgisi, onarım sonrası referans koşusundan türetilmiştir. Önemli enerji kullanımları, son kullanım kalemleri büyükten küçüğe sıralanarak kümülatif payın %80 eşiğini aştığı noktaya kadar olan kalemler olarak belirlenmiştir. Enerji performans göstergeleri birim alan başına yıllık enerji, kişi başına yıllık enerji ve derece-gün normalize gösterge olmak üzere üç düzeyde hesaplanmıştır. Derece-gün değerleri, iklim dosyasındaki saatlik kuru termometre sıcaklıklarından doğrudan hesaplanmaktadır.</w:t>
      </w:r>
    </w:p>
    <w:p w14:paraId="5CE97FE6">
      <w:pPr>
        <w:jc w:val="both"/>
      </w:pPr>
      <w:r>
        <w:rPr>
          <w:rFonts w:ascii="Arial" w:hAnsi="Arial"/>
          <w:sz w:val="22"/>
        </w:rPr>
        <w:t>Taban çizgisinin simülasyon kaynaklı olduğu ve ölçülmüş fatura verisine kalibre edilmediği, üretilen raporda makinece okunabilir bir alanla açıkça işaretlenmiştir. Bu ayrım, ISO 50001 kapsamında bir doğrulama iddiasında bulunulmadığının kaydıdır.</w:t>
      </w:r>
    </w:p>
    <w:p w14:paraId="0FE22A81">
      <w:pPr>
        <w:pStyle w:val="3"/>
        <w:jc w:val="left"/>
      </w:pPr>
      <w:bookmarkStart w:id="24" w:name="_Toc6171"/>
      <w:r>
        <w:rPr>
          <w:rFonts w:ascii="Arial" w:hAnsi="Arial"/>
          <w:b/>
          <w:sz w:val="22"/>
        </w:rPr>
        <w:t>3.8 Çok Amaçlı Optimizasyon</w:t>
      </w:r>
      <w:bookmarkEnd w:id="24"/>
    </w:p>
    <w:p w14:paraId="5546BEBC">
      <w:pPr>
        <w:jc w:val="both"/>
      </w:pPr>
      <w:r>
        <w:rPr>
          <w:rFonts w:ascii="Arial" w:hAnsi="Arial"/>
          <w:sz w:val="22"/>
        </w:rPr>
        <w:t>Optimizasyon problemi üç amaç ve beş eşitsizlik kısıtı ile tanımlanmıştır. Amaçlar enerji performans göstergesi, yatırım maliyeti ve konfor ihlali süresidir. Kısıtlar Tablo 3.2'de verilmiştir. Problem, karma değişken desteğine sahip NSGA-II uygulamasıyla çözülmüştür.</w:t>
      </w:r>
    </w:p>
    <w:p w14:paraId="7678304C">
      <w:pPr>
        <w:spacing w:before="120" w:after="120" w:line="240" w:lineRule="auto"/>
        <w:jc w:val="left"/>
      </w:pPr>
      <w:r>
        <w:rPr>
          <w:rFonts w:ascii="Arial" w:hAnsi="Arial"/>
          <w:sz w:val="20"/>
        </w:rPr>
        <w:t>Tablo 3.2. Amaç fonksiyonları ve kısıtlar</w:t>
      </w:r>
      <w:bookmarkStart w:id="25" w:name="_Toc5186"/>
      <w:r>
        <w:rPr>
          <w:vanish/>
        </w:rPr>
        <w:fldChar w:fldCharType="begin"/>
      </w:r>
      <w:r>
        <w:rPr>
          <w:vanish/>
        </w:rPr>
        <w:instrText xml:space="preserve"> TC "Tablo 3.2. Amaç fonksiyonları ve kısıtlar" \f t </w:instrText>
      </w:r>
      <w:r>
        <w:rPr>
          <w:vanish/>
        </w:rPr>
        <w:fldChar w:fldCharType="end"/>
      </w:r>
      <w:bookmarkEnd w:id="25"/>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1"/>
        <w:gridCol w:w="4592"/>
        <w:gridCol w:w="2835"/>
      </w:tblGrid>
      <w:tr w14:paraId="1D950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26BE79FA">
            <w:pPr>
              <w:spacing w:before="40" w:after="40" w:line="240" w:lineRule="auto"/>
            </w:pPr>
            <w:r>
              <w:rPr>
                <w:rFonts w:ascii="Arial" w:hAnsi="Arial"/>
                <w:b/>
                <w:sz w:val="20"/>
              </w:rPr>
              <w:t>Tür</w:t>
            </w:r>
          </w:p>
        </w:tc>
        <w:tc>
          <w:tcPr>
            <w:tcW w:w="4592" w:type="dxa"/>
          </w:tcPr>
          <w:p w14:paraId="57A11F48">
            <w:pPr>
              <w:spacing w:before="40" w:after="40" w:line="240" w:lineRule="auto"/>
            </w:pPr>
            <w:r>
              <w:rPr>
                <w:rFonts w:ascii="Arial" w:hAnsi="Arial"/>
                <w:b/>
                <w:sz w:val="20"/>
              </w:rPr>
              <w:t>Tanım</w:t>
            </w:r>
          </w:p>
        </w:tc>
        <w:tc>
          <w:tcPr>
            <w:tcW w:w="2835" w:type="dxa"/>
          </w:tcPr>
          <w:p w14:paraId="208333D9">
            <w:pPr>
              <w:spacing w:before="40" w:after="40" w:line="240" w:lineRule="auto"/>
            </w:pPr>
            <w:r>
              <w:rPr>
                <w:rFonts w:ascii="Arial" w:hAnsi="Arial"/>
                <w:b/>
                <w:sz w:val="20"/>
              </w:rPr>
              <w:t>Yön / sınır</w:t>
            </w:r>
          </w:p>
        </w:tc>
      </w:tr>
      <w:tr w14:paraId="45687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6477AEAB">
            <w:pPr>
              <w:spacing w:before="40" w:after="40" w:line="240" w:lineRule="auto"/>
            </w:pPr>
            <w:r>
              <w:rPr>
                <w:rFonts w:ascii="Arial" w:hAnsi="Arial"/>
                <w:b w:val="0"/>
                <w:sz w:val="20"/>
              </w:rPr>
              <w:t>Amaç 1</w:t>
            </w:r>
          </w:p>
        </w:tc>
        <w:tc>
          <w:tcPr>
            <w:tcW w:w="4592" w:type="dxa"/>
          </w:tcPr>
          <w:p w14:paraId="54ED6CD0">
            <w:pPr>
              <w:spacing w:before="40" w:after="40" w:line="240" w:lineRule="auto"/>
            </w:pPr>
            <w:r>
              <w:rPr>
                <w:rFonts w:ascii="Arial" w:hAnsi="Arial"/>
                <w:b w:val="0"/>
                <w:sz w:val="20"/>
              </w:rPr>
              <w:t>Enerji performans göstergesi (EnPİ)</w:t>
            </w:r>
          </w:p>
        </w:tc>
        <w:tc>
          <w:tcPr>
            <w:tcW w:w="2835" w:type="dxa"/>
          </w:tcPr>
          <w:p w14:paraId="0F3EAFD9">
            <w:pPr>
              <w:spacing w:before="40" w:after="40" w:line="240" w:lineRule="auto"/>
            </w:pPr>
            <w:r>
              <w:rPr>
                <w:rFonts w:ascii="Arial" w:hAnsi="Arial"/>
                <w:b w:val="0"/>
                <w:sz w:val="20"/>
              </w:rPr>
              <w:t>en küçükle</w:t>
            </w:r>
          </w:p>
        </w:tc>
      </w:tr>
      <w:tr w14:paraId="364B2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548B9896">
            <w:pPr>
              <w:spacing w:before="40" w:after="40" w:line="240" w:lineRule="auto"/>
            </w:pPr>
            <w:r>
              <w:rPr>
                <w:rFonts w:ascii="Arial" w:hAnsi="Arial"/>
                <w:b w:val="0"/>
                <w:sz w:val="20"/>
              </w:rPr>
              <w:t>Amaç 2</w:t>
            </w:r>
          </w:p>
        </w:tc>
        <w:tc>
          <w:tcPr>
            <w:tcW w:w="4592" w:type="dxa"/>
          </w:tcPr>
          <w:p w14:paraId="7B670A99">
            <w:pPr>
              <w:spacing w:before="40" w:after="40" w:line="240" w:lineRule="auto"/>
            </w:pPr>
            <w:r>
              <w:rPr>
                <w:rFonts w:ascii="Arial" w:hAnsi="Arial"/>
                <w:b w:val="0"/>
                <w:sz w:val="20"/>
              </w:rPr>
              <w:t>Yatırım maliyeti</w:t>
            </w:r>
          </w:p>
        </w:tc>
        <w:tc>
          <w:tcPr>
            <w:tcW w:w="2835" w:type="dxa"/>
          </w:tcPr>
          <w:p w14:paraId="6744D82B">
            <w:pPr>
              <w:spacing w:before="40" w:after="40" w:line="240" w:lineRule="auto"/>
            </w:pPr>
            <w:r>
              <w:rPr>
                <w:rFonts w:ascii="Arial" w:hAnsi="Arial"/>
                <w:b w:val="0"/>
                <w:sz w:val="20"/>
              </w:rPr>
              <w:t>en küçükle</w:t>
            </w:r>
          </w:p>
        </w:tc>
      </w:tr>
      <w:tr w14:paraId="1CCC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08E8B251">
            <w:pPr>
              <w:spacing w:before="40" w:after="40" w:line="240" w:lineRule="auto"/>
            </w:pPr>
            <w:r>
              <w:rPr>
                <w:rFonts w:ascii="Arial" w:hAnsi="Arial"/>
                <w:b w:val="0"/>
                <w:sz w:val="20"/>
              </w:rPr>
              <w:t>Amaç 3</w:t>
            </w:r>
          </w:p>
        </w:tc>
        <w:tc>
          <w:tcPr>
            <w:tcW w:w="4592" w:type="dxa"/>
          </w:tcPr>
          <w:p w14:paraId="308DD502">
            <w:pPr>
              <w:spacing w:before="40" w:after="40" w:line="240" w:lineRule="auto"/>
            </w:pPr>
            <w:r>
              <w:rPr>
                <w:rFonts w:ascii="Arial" w:hAnsi="Arial"/>
                <w:b w:val="0"/>
                <w:sz w:val="20"/>
              </w:rPr>
              <w:t>Konfor ihlali süresi</w:t>
            </w:r>
          </w:p>
        </w:tc>
        <w:tc>
          <w:tcPr>
            <w:tcW w:w="2835" w:type="dxa"/>
          </w:tcPr>
          <w:p w14:paraId="5AD3D1A2">
            <w:pPr>
              <w:spacing w:before="40" w:after="40" w:line="240" w:lineRule="auto"/>
            </w:pPr>
            <w:r>
              <w:rPr>
                <w:rFonts w:ascii="Arial" w:hAnsi="Arial"/>
                <w:b w:val="0"/>
                <w:sz w:val="20"/>
              </w:rPr>
              <w:t>en küçükle</w:t>
            </w:r>
          </w:p>
        </w:tc>
      </w:tr>
      <w:tr w14:paraId="56551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0CDEF7F0">
            <w:pPr>
              <w:spacing w:before="40" w:after="40" w:line="240" w:lineRule="auto"/>
            </w:pPr>
            <w:r>
              <w:rPr>
                <w:rFonts w:ascii="Arial" w:hAnsi="Arial"/>
                <w:b w:val="0"/>
                <w:sz w:val="20"/>
              </w:rPr>
              <w:t>Kısıt 1</w:t>
            </w:r>
          </w:p>
        </w:tc>
        <w:tc>
          <w:tcPr>
            <w:tcW w:w="4592" w:type="dxa"/>
          </w:tcPr>
          <w:p w14:paraId="54FCCF31">
            <w:pPr>
              <w:spacing w:before="40" w:after="40" w:line="240" w:lineRule="auto"/>
            </w:pPr>
            <w:r>
              <w:rPr>
                <w:rFonts w:ascii="Arial" w:hAnsi="Arial"/>
                <w:b w:val="0"/>
                <w:sz w:val="20"/>
              </w:rPr>
              <w:t>TS 825 dış duvar ısı geçirgenlik katsayısı</w:t>
            </w:r>
          </w:p>
        </w:tc>
        <w:tc>
          <w:tcPr>
            <w:tcW w:w="2835" w:type="dxa"/>
          </w:tcPr>
          <w:p w14:paraId="7120066F">
            <w:pPr>
              <w:spacing w:before="40" w:after="40" w:line="240" w:lineRule="auto"/>
            </w:pPr>
            <w:r>
              <w:rPr>
                <w:rFonts w:ascii="Arial" w:hAnsi="Arial"/>
                <w:b w:val="0"/>
                <w:sz w:val="20"/>
              </w:rPr>
              <w:t>≤ 0,50 W/m²K</w:t>
            </w:r>
          </w:p>
        </w:tc>
      </w:tr>
      <w:tr w14:paraId="15585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7D275D93">
            <w:pPr>
              <w:spacing w:before="40" w:after="40" w:line="240" w:lineRule="auto"/>
            </w:pPr>
            <w:r>
              <w:rPr>
                <w:rFonts w:ascii="Arial" w:hAnsi="Arial"/>
                <w:b w:val="0"/>
                <w:sz w:val="20"/>
              </w:rPr>
              <w:t>Kısıt 2</w:t>
            </w:r>
          </w:p>
        </w:tc>
        <w:tc>
          <w:tcPr>
            <w:tcW w:w="4592" w:type="dxa"/>
          </w:tcPr>
          <w:p w14:paraId="7904869D">
            <w:pPr>
              <w:spacing w:before="40" w:after="40" w:line="240" w:lineRule="auto"/>
            </w:pPr>
            <w:r>
              <w:rPr>
                <w:rFonts w:ascii="Arial" w:hAnsi="Arial"/>
                <w:b w:val="0"/>
                <w:sz w:val="20"/>
              </w:rPr>
              <w:t>TS 825 cam ısı geçirgenlik katsayısı</w:t>
            </w:r>
          </w:p>
        </w:tc>
        <w:tc>
          <w:tcPr>
            <w:tcW w:w="2835" w:type="dxa"/>
          </w:tcPr>
          <w:p w14:paraId="0B4486C0">
            <w:pPr>
              <w:spacing w:before="40" w:after="40" w:line="240" w:lineRule="auto"/>
            </w:pPr>
            <w:r>
              <w:rPr>
                <w:rFonts w:ascii="Arial" w:hAnsi="Arial"/>
                <w:b w:val="0"/>
                <w:sz w:val="20"/>
              </w:rPr>
              <w:t>≤ 2,80 W/m²K</w:t>
            </w:r>
          </w:p>
        </w:tc>
      </w:tr>
      <w:tr w14:paraId="51FA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186A7F24">
            <w:pPr>
              <w:spacing w:before="40" w:after="40" w:line="240" w:lineRule="auto"/>
            </w:pPr>
            <w:r>
              <w:rPr>
                <w:rFonts w:ascii="Arial" w:hAnsi="Arial"/>
                <w:b w:val="0"/>
                <w:sz w:val="20"/>
              </w:rPr>
              <w:t>Kısıt 3</w:t>
            </w:r>
          </w:p>
        </w:tc>
        <w:tc>
          <w:tcPr>
            <w:tcW w:w="4592" w:type="dxa"/>
          </w:tcPr>
          <w:p w14:paraId="3FA282DD">
            <w:pPr>
              <w:spacing w:before="40" w:after="40" w:line="240" w:lineRule="auto"/>
            </w:pPr>
            <w:r>
              <w:rPr>
                <w:rFonts w:ascii="Arial" w:hAnsi="Arial"/>
                <w:b w:val="0"/>
                <w:sz w:val="20"/>
              </w:rPr>
              <w:t>Konfor ihlali tavanı</w:t>
            </w:r>
          </w:p>
        </w:tc>
        <w:tc>
          <w:tcPr>
            <w:tcW w:w="2835" w:type="dxa"/>
          </w:tcPr>
          <w:p w14:paraId="286AD68D">
            <w:pPr>
              <w:spacing w:before="40" w:after="40" w:line="240" w:lineRule="auto"/>
            </w:pPr>
            <w:r>
              <w:rPr>
                <w:rFonts w:ascii="Arial" w:hAnsi="Arial"/>
                <w:b w:val="0"/>
                <w:sz w:val="20"/>
              </w:rPr>
              <w:t>üst sınır</w:t>
            </w:r>
          </w:p>
        </w:tc>
      </w:tr>
      <w:tr w14:paraId="032B7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7188E48A">
            <w:pPr>
              <w:spacing w:before="40" w:after="40" w:line="240" w:lineRule="auto"/>
            </w:pPr>
            <w:r>
              <w:rPr>
                <w:rFonts w:ascii="Arial" w:hAnsi="Arial"/>
                <w:b w:val="0"/>
                <w:sz w:val="20"/>
              </w:rPr>
              <w:t>Kısıt 4</w:t>
            </w:r>
          </w:p>
        </w:tc>
        <w:tc>
          <w:tcPr>
            <w:tcW w:w="4592" w:type="dxa"/>
          </w:tcPr>
          <w:p w14:paraId="6C02EE14">
            <w:pPr>
              <w:spacing w:before="40" w:after="40" w:line="240" w:lineRule="auto"/>
            </w:pPr>
            <w:r>
              <w:rPr>
                <w:rFonts w:ascii="Arial" w:hAnsi="Arial"/>
                <w:b w:val="0"/>
                <w:sz w:val="20"/>
              </w:rPr>
              <w:t>Yatırım bütçesi tavanı</w:t>
            </w:r>
          </w:p>
        </w:tc>
        <w:tc>
          <w:tcPr>
            <w:tcW w:w="2835" w:type="dxa"/>
          </w:tcPr>
          <w:p w14:paraId="69C8D968">
            <w:pPr>
              <w:spacing w:before="40" w:after="40" w:line="240" w:lineRule="auto"/>
            </w:pPr>
            <w:r>
              <w:rPr>
                <w:rFonts w:ascii="Arial" w:hAnsi="Arial"/>
                <w:b w:val="0"/>
                <w:sz w:val="20"/>
              </w:rPr>
              <w:t>üst sınır</w:t>
            </w:r>
          </w:p>
        </w:tc>
      </w:tr>
      <w:tr w14:paraId="3929B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1" w:type="dxa"/>
          </w:tcPr>
          <w:p w14:paraId="48406029">
            <w:pPr>
              <w:spacing w:before="40" w:after="40" w:line="240" w:lineRule="auto"/>
            </w:pPr>
            <w:r>
              <w:rPr>
                <w:rFonts w:ascii="Arial" w:hAnsi="Arial"/>
                <w:b w:val="0"/>
                <w:sz w:val="20"/>
              </w:rPr>
              <w:t>Kısıt 5</w:t>
            </w:r>
          </w:p>
        </w:tc>
        <w:tc>
          <w:tcPr>
            <w:tcW w:w="4592" w:type="dxa"/>
          </w:tcPr>
          <w:p w14:paraId="2448D9C1">
            <w:pPr>
              <w:spacing w:before="40" w:after="40" w:line="240" w:lineRule="auto"/>
            </w:pPr>
            <w:r>
              <w:rPr>
                <w:rFonts w:ascii="Arial" w:hAnsi="Arial"/>
                <w:b w:val="0"/>
                <w:sz w:val="20"/>
              </w:rPr>
              <w:t>Asgari ölü bant</w:t>
            </w:r>
          </w:p>
        </w:tc>
        <w:tc>
          <w:tcPr>
            <w:tcW w:w="2835" w:type="dxa"/>
          </w:tcPr>
          <w:p w14:paraId="24DDF5DA">
            <w:pPr>
              <w:spacing w:before="40" w:after="40" w:line="240" w:lineRule="auto"/>
            </w:pPr>
            <w:r>
              <w:rPr>
                <w:rFonts w:ascii="Arial" w:hAnsi="Arial"/>
                <w:b w:val="0"/>
                <w:sz w:val="20"/>
              </w:rPr>
              <w:t>≥ 0,5 K</w:t>
            </w:r>
          </w:p>
        </w:tc>
      </w:tr>
    </w:tbl>
    <w:p w14:paraId="1A3CC782">
      <w:pPr>
        <w:jc w:val="both"/>
      </w:pPr>
      <w:r>
        <w:rPr>
          <w:rFonts w:ascii="Arial" w:hAnsi="Arial"/>
          <w:sz w:val="22"/>
        </w:rPr>
        <w:t>Konfor amacı hesaplanırken iklimlendirilmeyen iki bölge kapsam dışı bırakılmıştır. Bu bölgelerde ısıtma ve soğutma cihazı bulunmadığından iç sıcaklıkları dış hava sıcaklığını izlemektedir; söz konusu davranış bir kusur değil, doğru fiziksel sonuçtur ve konfor ölçütüne dâhil edilmesi yanıltıcı olurdu.</w:t>
      </w:r>
    </w:p>
    <w:p w14:paraId="670CA17B">
      <w:pPr>
        <w:jc w:val="both"/>
      </w:pPr>
      <w:r>
        <w:rPr>
          <w:rFonts w:ascii="Arial" w:hAnsi="Arial"/>
          <w:sz w:val="22"/>
        </w:rPr>
        <w:t>Cephe kalitesi hipervolüm göstergesiyle izlenmiştir. Aday çözümler arasından tezde önerilecek tek bir uzlaşı çözümünün belirlenmesinde, Hwang ve Yoon (1981) tarafından tanımlanan TOPSIS yöntemi kullanılmıştır.</w:t>
      </w:r>
    </w:p>
    <w:p w14:paraId="31267882">
      <w:pPr>
        <w:pStyle w:val="3"/>
        <w:jc w:val="left"/>
      </w:pPr>
      <w:bookmarkStart w:id="26" w:name="_Toc2555"/>
      <w:r>
        <w:rPr>
          <w:rFonts w:ascii="Arial" w:hAnsi="Arial"/>
          <w:b/>
          <w:sz w:val="22"/>
        </w:rPr>
        <w:t>3.9 Doğrulama Protokolü</w:t>
      </w:r>
      <w:bookmarkEnd w:id="26"/>
    </w:p>
    <w:p w14:paraId="5C1456D3">
      <w:pPr>
        <w:jc w:val="both"/>
      </w:pPr>
      <w:r>
        <w:rPr>
          <w:rFonts w:ascii="Arial" w:hAnsi="Arial"/>
          <w:sz w:val="22"/>
        </w:rPr>
        <w:t>Doğrulama noktalarının seçimi rastgele değildir; üç kural birlikte uygulanmaktadır. Birincisi, her amacın uç noktası seçilir; vekil model cephenin kenarlarında en çok zorlanır. İkincisi, TOPSIS uzlaşı çözümü mutlaka doğrulanır; önerilecek çözüm budur. Üçüncüsü, cephenin orta bölgesinin de temsil edilmesi için maksimin ölçütüyle dağılım noktaları eklenir.</w:t>
      </w:r>
    </w:p>
    <w:p w14:paraId="0E157FC7">
      <w:pPr>
        <w:jc w:val="both"/>
      </w:pPr>
      <w:r>
        <w:rPr>
          <w:rFonts w:ascii="Arial" w:hAnsi="Arial"/>
          <w:sz w:val="22"/>
        </w:rPr>
        <w:t>Eğitim kümesinde yer alan çözümler aday havuzundan çıkarılmaktadır. Bu kural adaptif örnekleme turlarında zorunludur: önceki turun doğrulama noktaları eğitim kümesine eklendiğinden, yeniden seçilmeleri hâlinde doğrulama dairesel hâle gelir ve modelin gerçek hatası yerine ezberi ölçülür. Sapma işareti tanımlıdır; pozitif değer vekil modelin fazla tahmin ettiğini gösterir. Kabul ölçütü, her doğrulama noktasında mutlak sapmanın %5 altında kalmasıdır.</w:t>
      </w:r>
    </w:p>
    <w:p w14:paraId="3B360106">
      <w:pPr>
        <w:pStyle w:val="3"/>
        <w:jc w:val="left"/>
      </w:pPr>
      <w:bookmarkStart w:id="27" w:name="_Toc8771"/>
      <w:r>
        <w:rPr>
          <w:rFonts w:ascii="Arial" w:hAnsi="Arial"/>
          <w:b/>
          <w:sz w:val="22"/>
        </w:rPr>
        <w:t>3.10 Yazılım Aracı ve Kullanıcı Arayüzü</w:t>
      </w:r>
      <w:bookmarkEnd w:id="27"/>
    </w:p>
    <w:p w14:paraId="589D1477">
      <w:pPr>
        <w:jc w:val="both"/>
      </w:pPr>
      <w:r>
        <w:rPr>
          <w:rFonts w:ascii="Arial" w:hAnsi="Arial"/>
          <w:sz w:val="22"/>
        </w:rPr>
        <w:t>Yöntemin uygulanabilir ve yinelenebilir olması için, tüm analiz adımlarını tek bir çalışma alanında toplayan bir yazılım aracı geliştirilmiştir. Araç üç katmanlı bir mimariye sahiptir: kullanıcı arayüzü NiceGUI ile, uygulama katmanı FastAPI tabanlı bir HTTP arayüzüyle, simülasyon katmanı ise OpenStudio yazılım geliştirme kitiyle gerçekleştirilmiştir.</w:t>
      </w:r>
    </w:p>
    <w:p w14:paraId="211A1CB7">
      <w:pPr>
        <w:jc w:val="both"/>
      </w:pPr>
      <w:r>
        <w:rPr>
          <w:rFonts w:ascii="Arial" w:hAnsi="Arial"/>
          <w:sz w:val="22"/>
        </w:rPr>
        <w:t>Katmanlar arasındaki ayrım bilinçlidir. Kullanıcı arayüzü model, simülasyon sonucu veya veri dosyalarını doğrudan açmaz; yalnızca model kimliği ve JSON veri yapıları üzerinden HTTP arayüzüne başvurur. Yerel dosya yolları arayüz yanıtlarında dışarı verilmez. Bu tasarım, analiz mantığının görselleştirmeden bağımsız olarak sınanabilmesini ve aracın başka bir bina modeline uygulanabilmesini sağlar.</w:t>
      </w:r>
    </w:p>
    <w:p w14:paraId="1F398988">
      <w:pPr>
        <w:jc w:val="both"/>
      </w:pPr>
      <w:r>
        <w:rPr>
          <w:rFonts w:ascii="Arial" w:hAnsi="Arial"/>
          <w:sz w:val="22"/>
        </w:rPr>
        <w:t>Aracın genel yapısı Şekil 3.1'de, başlıca ekranları ise Şekil 3.2 – Şekil 3.4 arasında sunulmuştur. Analiz sonuçlarını görüntüleyen ekranlar Bölüm 4'te ilgili bulgularla birlikte verilmiştir.</w:t>
      </w:r>
    </w:p>
    <w:p w14:paraId="1031A06A">
      <w:pPr>
        <w:spacing w:before="120" w:after="0"/>
        <w:jc w:val="center"/>
      </w:pPr>
      <w:r>
        <w:drawing>
          <wp:inline distT="0" distB="0" distL="114300" distR="114300">
            <wp:extent cx="4679950" cy="3391535"/>
            <wp:effectExtent l="0" t="0" r="1397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4680000" cy="3392093"/>
                    </a:xfrm>
                    <a:prstGeom prst="rect">
                      <a:avLst/>
                    </a:prstGeom>
                  </pic:spPr>
                </pic:pic>
              </a:graphicData>
            </a:graphic>
          </wp:inline>
        </w:drawing>
      </w:r>
    </w:p>
    <w:p w14:paraId="58E1BEA6">
      <w:pPr>
        <w:spacing w:before="120" w:after="120" w:line="240" w:lineRule="auto"/>
        <w:jc w:val="left"/>
      </w:pPr>
      <w:r>
        <w:rPr>
          <w:rFonts w:ascii="Arial" w:hAnsi="Arial"/>
          <w:sz w:val="20"/>
        </w:rPr>
        <w:t>Şekil 3.1. Yazılım aracının katmanlı mimarisi</w:t>
      </w:r>
      <w:bookmarkStart w:id="28" w:name="_Toc16024"/>
      <w:r>
        <w:rPr>
          <w:vanish/>
        </w:rPr>
        <w:fldChar w:fldCharType="begin"/>
      </w:r>
      <w:r>
        <w:rPr>
          <w:vanish/>
        </w:rPr>
        <w:instrText xml:space="preserve"> TC "Şekil 3.1. Yazılım aracının katmanlı mimarisi" \f g </w:instrText>
      </w:r>
      <w:r>
        <w:rPr>
          <w:vanish/>
        </w:rPr>
        <w:fldChar w:fldCharType="end"/>
      </w:r>
      <w:bookmarkEnd w:id="28"/>
    </w:p>
    <w:p w14:paraId="79641DF1">
      <w:pPr>
        <w:spacing w:before="120" w:after="120" w:line="240" w:lineRule="auto"/>
        <w:jc w:val="left"/>
      </w:pPr>
      <w:r>
        <w:rPr>
          <w:rFonts w:ascii="Arial" w:hAnsi="Arial"/>
          <w:sz w:val="20"/>
        </w:rPr>
        <w:t>Tablo 3.3. Yazılım aracının katmanları</w:t>
      </w:r>
      <w:bookmarkStart w:id="29" w:name="_Toc21867"/>
      <w:r>
        <w:rPr>
          <w:vanish/>
        </w:rPr>
        <w:fldChar w:fldCharType="begin"/>
      </w:r>
      <w:r>
        <w:rPr>
          <w:vanish/>
        </w:rPr>
        <w:instrText xml:space="preserve"> TC "Tablo 3.3. Yazılım aracının katmanları" \f t </w:instrText>
      </w:r>
      <w:r>
        <w:rPr>
          <w:vanish/>
        </w:rPr>
        <w:fldChar w:fldCharType="end"/>
      </w:r>
      <w:bookmarkEnd w:id="29"/>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2494"/>
        <w:gridCol w:w="4252"/>
      </w:tblGrid>
      <w:tr w14:paraId="7D44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BB4F98F">
            <w:pPr>
              <w:spacing w:before="40" w:after="40" w:line="240" w:lineRule="auto"/>
            </w:pPr>
            <w:r>
              <w:rPr>
                <w:rFonts w:ascii="Arial" w:hAnsi="Arial"/>
                <w:b/>
                <w:sz w:val="20"/>
              </w:rPr>
              <w:t>Katman</w:t>
            </w:r>
          </w:p>
        </w:tc>
        <w:tc>
          <w:tcPr>
            <w:tcW w:w="2494" w:type="dxa"/>
          </w:tcPr>
          <w:p w14:paraId="17F330AA">
            <w:pPr>
              <w:spacing w:before="40" w:after="40" w:line="240" w:lineRule="auto"/>
            </w:pPr>
            <w:r>
              <w:rPr>
                <w:rFonts w:ascii="Arial" w:hAnsi="Arial"/>
                <w:b/>
                <w:sz w:val="20"/>
              </w:rPr>
              <w:t>Teknoloji</w:t>
            </w:r>
          </w:p>
        </w:tc>
        <w:tc>
          <w:tcPr>
            <w:tcW w:w="4252" w:type="dxa"/>
          </w:tcPr>
          <w:p w14:paraId="6BCB9E9E">
            <w:pPr>
              <w:spacing w:before="40" w:after="40" w:line="240" w:lineRule="auto"/>
            </w:pPr>
            <w:r>
              <w:rPr>
                <w:rFonts w:ascii="Arial" w:hAnsi="Arial"/>
                <w:b/>
                <w:sz w:val="20"/>
              </w:rPr>
              <w:t>Sorumluluk</w:t>
            </w:r>
          </w:p>
        </w:tc>
      </w:tr>
      <w:tr w14:paraId="18C60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19FAC73">
            <w:pPr>
              <w:spacing w:before="40" w:after="40" w:line="240" w:lineRule="auto"/>
            </w:pPr>
            <w:r>
              <w:rPr>
                <w:rFonts w:ascii="Arial" w:hAnsi="Arial"/>
                <w:b w:val="0"/>
                <w:sz w:val="20"/>
              </w:rPr>
              <w:t>Kullanıcı arayüzü</w:t>
            </w:r>
          </w:p>
        </w:tc>
        <w:tc>
          <w:tcPr>
            <w:tcW w:w="2494" w:type="dxa"/>
          </w:tcPr>
          <w:p w14:paraId="67757312">
            <w:pPr>
              <w:spacing w:before="40" w:after="40" w:line="240" w:lineRule="auto"/>
            </w:pPr>
            <w:r>
              <w:rPr>
                <w:rFonts w:ascii="Arial" w:hAnsi="Arial"/>
                <w:b w:val="0"/>
                <w:sz w:val="20"/>
              </w:rPr>
              <w:t>NiceGUI</w:t>
            </w:r>
          </w:p>
        </w:tc>
        <w:tc>
          <w:tcPr>
            <w:tcW w:w="4252" w:type="dxa"/>
          </w:tcPr>
          <w:p w14:paraId="268A7D47">
            <w:pPr>
              <w:spacing w:before="40" w:after="40" w:line="240" w:lineRule="auto"/>
            </w:pPr>
            <w:r>
              <w:rPr>
                <w:rFonts w:ascii="Arial" w:hAnsi="Arial"/>
                <w:b w:val="0"/>
                <w:sz w:val="20"/>
              </w:rPr>
              <w:t>Görselleştirme ve etkileşim</w:t>
            </w:r>
          </w:p>
        </w:tc>
      </w:tr>
      <w:tr w14:paraId="70A73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065DA4A">
            <w:pPr>
              <w:spacing w:before="40" w:after="40" w:line="240" w:lineRule="auto"/>
            </w:pPr>
            <w:r>
              <w:rPr>
                <w:rFonts w:ascii="Arial" w:hAnsi="Arial"/>
                <w:b w:val="0"/>
                <w:sz w:val="20"/>
              </w:rPr>
              <w:t>Uygulama arayüzü</w:t>
            </w:r>
          </w:p>
        </w:tc>
        <w:tc>
          <w:tcPr>
            <w:tcW w:w="2494" w:type="dxa"/>
          </w:tcPr>
          <w:p w14:paraId="5C5DAC16">
            <w:pPr>
              <w:spacing w:before="40" w:after="40" w:line="240" w:lineRule="auto"/>
            </w:pPr>
            <w:r>
              <w:rPr>
                <w:rFonts w:ascii="Arial" w:hAnsi="Arial"/>
                <w:b w:val="0"/>
                <w:sz w:val="20"/>
              </w:rPr>
              <w:t>FastAPI</w:t>
            </w:r>
          </w:p>
        </w:tc>
        <w:tc>
          <w:tcPr>
            <w:tcW w:w="4252" w:type="dxa"/>
          </w:tcPr>
          <w:p w14:paraId="76BED2E5">
            <w:pPr>
              <w:spacing w:before="40" w:after="40" w:line="240" w:lineRule="auto"/>
            </w:pPr>
            <w:r>
              <w:rPr>
                <w:rFonts w:ascii="Arial" w:hAnsi="Arial"/>
                <w:b w:val="0"/>
                <w:sz w:val="20"/>
              </w:rPr>
              <w:t>Model kimliği, doğrulama, yetkilendirme</w:t>
            </w:r>
          </w:p>
        </w:tc>
      </w:tr>
      <w:tr w14:paraId="506D2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134CA17C">
            <w:pPr>
              <w:spacing w:before="40" w:after="40" w:line="240" w:lineRule="auto"/>
            </w:pPr>
            <w:r>
              <w:rPr>
                <w:rFonts w:ascii="Arial" w:hAnsi="Arial"/>
                <w:b w:val="0"/>
                <w:sz w:val="20"/>
              </w:rPr>
              <w:t>Servis katmanı</w:t>
            </w:r>
          </w:p>
        </w:tc>
        <w:tc>
          <w:tcPr>
            <w:tcW w:w="2494" w:type="dxa"/>
          </w:tcPr>
          <w:p w14:paraId="46487C99">
            <w:pPr>
              <w:spacing w:before="40" w:after="40" w:line="240" w:lineRule="auto"/>
            </w:pPr>
            <w:r>
              <w:rPr>
                <w:rFonts w:ascii="Arial" w:hAnsi="Arial"/>
                <w:b w:val="0"/>
                <w:sz w:val="20"/>
              </w:rPr>
              <w:t>OpenStudio SDK</w:t>
            </w:r>
          </w:p>
        </w:tc>
        <w:tc>
          <w:tcPr>
            <w:tcW w:w="4252" w:type="dxa"/>
          </w:tcPr>
          <w:p w14:paraId="7B8B64CD">
            <w:pPr>
              <w:spacing w:before="40" w:after="40" w:line="240" w:lineRule="auto"/>
            </w:pPr>
            <w:r>
              <w:rPr>
                <w:rFonts w:ascii="Arial" w:hAnsi="Arial"/>
                <w:b w:val="0"/>
                <w:sz w:val="20"/>
              </w:rPr>
              <w:t>Model okuma ve iş akışı üretimi</w:t>
            </w:r>
          </w:p>
        </w:tc>
      </w:tr>
      <w:tr w14:paraId="35928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6B17CF08">
            <w:pPr>
              <w:spacing w:before="40" w:after="40" w:line="240" w:lineRule="auto"/>
            </w:pPr>
            <w:r>
              <w:rPr>
                <w:rFonts w:ascii="Arial" w:hAnsi="Arial"/>
                <w:b w:val="0"/>
                <w:sz w:val="20"/>
              </w:rPr>
              <w:t>Simülasyon</w:t>
            </w:r>
          </w:p>
        </w:tc>
        <w:tc>
          <w:tcPr>
            <w:tcW w:w="2494" w:type="dxa"/>
          </w:tcPr>
          <w:p w14:paraId="786D6330">
            <w:pPr>
              <w:spacing w:before="40" w:after="40" w:line="240" w:lineRule="auto"/>
            </w:pPr>
            <w:r>
              <w:rPr>
                <w:rFonts w:ascii="Arial" w:hAnsi="Arial"/>
                <w:b w:val="0"/>
                <w:sz w:val="20"/>
              </w:rPr>
              <w:t>EnergyPlus</w:t>
            </w:r>
          </w:p>
        </w:tc>
        <w:tc>
          <w:tcPr>
            <w:tcW w:w="4252" w:type="dxa"/>
          </w:tcPr>
          <w:p w14:paraId="7BBFE3FA">
            <w:pPr>
              <w:spacing w:before="40" w:after="40" w:line="240" w:lineRule="auto"/>
            </w:pPr>
            <w:r>
              <w:rPr>
                <w:rFonts w:ascii="Arial" w:hAnsi="Arial"/>
                <w:b w:val="0"/>
                <w:sz w:val="20"/>
              </w:rPr>
              <w:t>Yıllık enerji hesabı</w:t>
            </w:r>
          </w:p>
        </w:tc>
      </w:tr>
      <w:tr w14:paraId="3F9E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56D000BE">
            <w:pPr>
              <w:spacing w:before="40" w:after="40" w:line="240" w:lineRule="auto"/>
            </w:pPr>
            <w:r>
              <w:rPr>
                <w:rFonts w:ascii="Arial" w:hAnsi="Arial"/>
                <w:b w:val="0"/>
                <w:sz w:val="20"/>
              </w:rPr>
              <w:t>Analiz</w:t>
            </w:r>
          </w:p>
        </w:tc>
        <w:tc>
          <w:tcPr>
            <w:tcW w:w="2494" w:type="dxa"/>
          </w:tcPr>
          <w:p w14:paraId="7EA93764">
            <w:pPr>
              <w:spacing w:before="40" w:after="40" w:line="240" w:lineRule="auto"/>
            </w:pPr>
            <w:r>
              <w:rPr>
                <w:rFonts w:ascii="Arial" w:hAnsi="Arial"/>
                <w:b w:val="0"/>
                <w:sz w:val="20"/>
              </w:rPr>
              <w:t>scikit-learn, pymoo</w:t>
            </w:r>
          </w:p>
        </w:tc>
        <w:tc>
          <w:tcPr>
            <w:tcW w:w="4252" w:type="dxa"/>
          </w:tcPr>
          <w:p w14:paraId="0B86E667">
            <w:pPr>
              <w:spacing w:before="40" w:after="40" w:line="240" w:lineRule="auto"/>
            </w:pPr>
            <w:r>
              <w:rPr>
                <w:rFonts w:ascii="Arial" w:hAnsi="Arial"/>
                <w:b w:val="0"/>
                <w:sz w:val="20"/>
              </w:rPr>
              <w:t>Vekil model ve optimizasyon</w:t>
            </w:r>
          </w:p>
        </w:tc>
      </w:tr>
    </w:tbl>
    <w:p w14:paraId="7CCA6D0D">
      <w:pPr>
        <w:jc w:val="both"/>
      </w:pPr>
      <w:r>
        <w:rPr>
          <w:rFonts w:ascii="Arial" w:hAnsi="Arial"/>
          <w:sz w:val="22"/>
        </w:rPr>
        <w:t>Enerji Merkezi ekranı, taban çizgisinin doğrudan EnergyPlus SQL çıktısından okunan göstergelerini sunar. Ekranın üst bandındaki koşu seçicisi, onarılmış taban çizgisi ile tarihsel referans niteliğindeki eski arşiv koşuları arasında geçiş yapmayı sağlar; arşiv koşusu seçildiğinde bu koşuların parametrik veri olarak kullanılamayacağını belirten bir veri kalitesi uyarısı görüntülenir.</w:t>
      </w:r>
    </w:p>
    <w:p w14:paraId="346E4E15">
      <w:pPr>
        <w:spacing w:before="120" w:after="0"/>
        <w:jc w:val="center"/>
      </w:pPr>
      <w:r>
        <w:drawing>
          <wp:inline distT="0" distB="0" distL="114300" distR="114300">
            <wp:extent cx="5579745" cy="3719830"/>
            <wp:effectExtent l="0" t="0" r="13335" b="139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580000" cy="3720000"/>
                    </a:xfrm>
                    <a:prstGeom prst="rect">
                      <a:avLst/>
                    </a:prstGeom>
                  </pic:spPr>
                </pic:pic>
              </a:graphicData>
            </a:graphic>
          </wp:inline>
        </w:drawing>
      </w:r>
    </w:p>
    <w:p w14:paraId="7C3D855A">
      <w:pPr>
        <w:spacing w:before="120" w:after="120" w:line="240" w:lineRule="auto"/>
        <w:jc w:val="left"/>
      </w:pPr>
      <w:r>
        <w:rPr>
          <w:rFonts w:ascii="Arial" w:hAnsi="Arial"/>
          <w:sz w:val="20"/>
        </w:rPr>
        <w:t>Şekil 3.2. Enerji Merkezi ekranı: onarılmış taban koşusunun özet göstergeleri, son kullanım dağılımı ve aylık tüketim profili</w:t>
      </w:r>
      <w:bookmarkStart w:id="30" w:name="_Toc8907"/>
      <w:r>
        <w:rPr>
          <w:vanish/>
        </w:rPr>
        <w:fldChar w:fldCharType="begin"/>
      </w:r>
      <w:r>
        <w:rPr>
          <w:vanish/>
        </w:rPr>
        <w:instrText xml:space="preserve"> TC "Şekil 3.2. Enerji Merkezi ekranı: onarılmış taban koşusunun özet göstergeleri, son kullanım dağılımı ve aylık tüketim profili" \f g </w:instrText>
      </w:r>
      <w:r>
        <w:rPr>
          <w:vanish/>
        </w:rPr>
        <w:fldChar w:fldCharType="end"/>
      </w:r>
      <w:bookmarkEnd w:id="30"/>
    </w:p>
    <w:p w14:paraId="6441A480">
      <w:pPr>
        <w:jc w:val="both"/>
      </w:pPr>
      <w:r>
        <w:rPr>
          <w:rFonts w:ascii="Arial" w:hAnsi="Arial"/>
          <w:sz w:val="22"/>
        </w:rPr>
        <w:t>Senaryo Kurucu ekranı, Bölüm 3.3'te tanımlanan karar değişkenlerinin elle belirlenmesine ve tek bir senaryonun gerçek OpenStudio iş akışıyla koşturulmasına olanak verir. Bu ekran, vekil model tahminlerinin nokta bazında sınanmasında kullanılmıştır.</w:t>
      </w:r>
    </w:p>
    <w:p w14:paraId="185E9F77">
      <w:pPr>
        <w:spacing w:before="120" w:after="0"/>
        <w:jc w:val="center"/>
      </w:pPr>
      <w:r>
        <w:drawing>
          <wp:inline distT="0" distB="0" distL="114300" distR="114300">
            <wp:extent cx="5579745" cy="3719830"/>
            <wp:effectExtent l="0" t="0" r="13335" b="139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580000" cy="3720000"/>
                    </a:xfrm>
                    <a:prstGeom prst="rect">
                      <a:avLst/>
                    </a:prstGeom>
                  </pic:spPr>
                </pic:pic>
              </a:graphicData>
            </a:graphic>
          </wp:inline>
        </w:drawing>
      </w:r>
    </w:p>
    <w:p w14:paraId="7A34EDC5">
      <w:pPr>
        <w:spacing w:before="120" w:after="120" w:line="240" w:lineRule="auto"/>
        <w:jc w:val="left"/>
      </w:pPr>
      <w:r>
        <w:rPr>
          <w:rFonts w:ascii="Arial" w:hAnsi="Arial"/>
          <w:sz w:val="20"/>
        </w:rPr>
        <w:t>Şekil 3.3. Senaryo Kurucu ekranı: karar değişkenlerinin tanımlanması ve gerçek OpenStudio koşusunun başlatılması</w:t>
      </w:r>
      <w:bookmarkStart w:id="31" w:name="_Toc3167"/>
      <w:r>
        <w:rPr>
          <w:vanish/>
        </w:rPr>
        <w:fldChar w:fldCharType="begin"/>
      </w:r>
      <w:r>
        <w:rPr>
          <w:vanish/>
        </w:rPr>
        <w:instrText xml:space="preserve"> TC "Şekil 3.3. Senaryo Kurucu ekranı: karar değişkenlerinin tanımlanması ve gerçek OpenStudio koşusunun başlatılması" \f g </w:instrText>
      </w:r>
      <w:r>
        <w:rPr>
          <w:vanish/>
        </w:rPr>
        <w:fldChar w:fldCharType="end"/>
      </w:r>
      <w:bookmarkEnd w:id="31"/>
    </w:p>
    <w:p w14:paraId="4FFD1AF8">
      <w:pPr>
        <w:jc w:val="both"/>
      </w:pPr>
      <w:r>
        <w:rPr>
          <w:rFonts w:ascii="Arial" w:hAnsi="Arial"/>
          <w:sz w:val="22"/>
        </w:rPr>
        <w:t>Model ve Varlıklar ekranı, bina modelinin içeriğini OpenStudio yazılım geliştirme kitinin resmî arayüzü üzerinden okur. Mekân sayısı, yüzey sayısı, ısıl bölgeler ve konstrüksiyon katmanlarının ısıl özellikleri bu ekrandan doğrulanabilir.</w:t>
      </w:r>
    </w:p>
    <w:p w14:paraId="1B999226">
      <w:pPr>
        <w:spacing w:before="120" w:after="0"/>
        <w:jc w:val="center"/>
      </w:pPr>
      <w:r>
        <w:drawing>
          <wp:inline distT="0" distB="0" distL="114300" distR="114300">
            <wp:extent cx="5579745" cy="3719830"/>
            <wp:effectExtent l="0" t="0" r="1333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580000" cy="3720000"/>
                    </a:xfrm>
                    <a:prstGeom prst="rect">
                      <a:avLst/>
                    </a:prstGeom>
                  </pic:spPr>
                </pic:pic>
              </a:graphicData>
            </a:graphic>
          </wp:inline>
        </w:drawing>
      </w:r>
    </w:p>
    <w:p w14:paraId="636F2960">
      <w:pPr>
        <w:spacing w:before="120" w:after="120" w:line="240" w:lineRule="auto"/>
        <w:jc w:val="left"/>
      </w:pPr>
      <w:r>
        <w:rPr>
          <w:rFonts w:ascii="Arial" w:hAnsi="Arial"/>
          <w:sz w:val="20"/>
        </w:rPr>
        <w:t>Şekil 3.4. Model ve Varlıklar ekranı: mekân, yüzey, ısıl bölge ve konstrüksiyon katmanlarının incelenmesi</w:t>
      </w:r>
      <w:bookmarkStart w:id="32" w:name="_Toc29065"/>
      <w:r>
        <w:rPr>
          <w:vanish/>
        </w:rPr>
        <w:fldChar w:fldCharType="begin"/>
      </w:r>
      <w:r>
        <w:rPr>
          <w:vanish/>
        </w:rPr>
        <w:instrText xml:space="preserve"> TC "Şekil 3.4. Model ve Varlıklar ekranı: mekân, yüzey, ısıl bölge ve konstrüksiyon katmanlarının incelenmesi" \f g </w:instrText>
      </w:r>
      <w:r>
        <w:rPr>
          <w:vanish/>
        </w:rPr>
        <w:fldChar w:fldCharType="end"/>
      </w:r>
      <w:bookmarkEnd w:id="32"/>
    </w:p>
    <w:p w14:paraId="793373DA">
      <w:pPr>
        <w:pStyle w:val="2"/>
        <w:jc w:val="center"/>
      </w:pPr>
      <w:bookmarkStart w:id="33" w:name="_Toc22942"/>
      <w:r>
        <w:rPr>
          <w:rFonts w:ascii="Arial" w:hAnsi="Arial"/>
          <w:b/>
          <w:sz w:val="22"/>
        </w:rPr>
        <w:t>4. BULGULAR</w:t>
      </w:r>
      <w:bookmarkEnd w:id="33"/>
    </w:p>
    <w:p w14:paraId="557CB2AA">
      <w:pPr>
        <w:pStyle w:val="3"/>
        <w:jc w:val="left"/>
      </w:pPr>
      <w:bookmarkStart w:id="34" w:name="_Toc5413"/>
      <w:r>
        <w:rPr>
          <w:rFonts w:ascii="Arial" w:hAnsi="Arial"/>
          <w:b/>
          <w:sz w:val="22"/>
        </w:rPr>
        <w:t>4.1 Model Onarımının Ölçülen Etkisi</w:t>
      </w:r>
      <w:bookmarkEnd w:id="34"/>
    </w:p>
    <w:p w14:paraId="5C57509C">
      <w:pPr>
        <w:jc w:val="both"/>
      </w:pPr>
      <w:r>
        <w:rPr>
          <w:rFonts w:ascii="Arial" w:hAnsi="Arial"/>
          <w:sz w:val="22"/>
        </w:rPr>
        <w:t>Bölüm 3.2'de tanımlanan onarımların taban çizgisi üzerindeki etkisi Tablo 4.1'de verilmiştir. En belirgin değişim, asansör boşluğunun yıl boyunca 88,0 °C ortalama sıcaklıkta kalmasına yol açan yapay ısı kazancının ortadan kalkmasıdır. Bu kazanç komşu bölgelere iç yüzeylerden aktarıldığı için soğutma yükünü de şişirmekteydi.</w:t>
      </w:r>
    </w:p>
    <w:p w14:paraId="66429A08">
      <w:pPr>
        <w:spacing w:before="120" w:after="120" w:line="240" w:lineRule="auto"/>
        <w:jc w:val="left"/>
      </w:pPr>
      <w:r>
        <w:rPr>
          <w:rFonts w:ascii="Arial" w:hAnsi="Arial"/>
          <w:sz w:val="20"/>
        </w:rPr>
        <w:t>Tablo 4.1. Model onarımının taban çizgisi üzerindeki etkisi</w:t>
      </w:r>
      <w:bookmarkStart w:id="35" w:name="_Toc12213"/>
      <w:r>
        <w:rPr>
          <w:vanish/>
        </w:rPr>
        <w:fldChar w:fldCharType="begin"/>
      </w:r>
      <w:r>
        <w:rPr>
          <w:vanish/>
        </w:rPr>
        <w:instrText xml:space="preserve"> TC "Tablo 4.1. Model onarımının taban çizgisi üzerindeki etkisi" \f t </w:instrText>
      </w:r>
      <w:r>
        <w:rPr>
          <w:vanish/>
        </w:rPr>
        <w:fldChar w:fldCharType="end"/>
      </w:r>
      <w:bookmarkEnd w:id="35"/>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5"/>
        <w:gridCol w:w="2268"/>
        <w:gridCol w:w="2324"/>
      </w:tblGrid>
      <w:tr w14:paraId="66AAC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1E8C8CCA">
            <w:pPr>
              <w:spacing w:before="40" w:after="40" w:line="240" w:lineRule="auto"/>
            </w:pPr>
            <w:r>
              <w:rPr>
                <w:rFonts w:ascii="Arial" w:hAnsi="Arial"/>
                <w:b/>
                <w:sz w:val="20"/>
              </w:rPr>
              <w:t>Gösterge</w:t>
            </w:r>
          </w:p>
        </w:tc>
        <w:tc>
          <w:tcPr>
            <w:tcW w:w="2268" w:type="dxa"/>
          </w:tcPr>
          <w:p w14:paraId="4CE542F0">
            <w:pPr>
              <w:spacing w:before="40" w:after="40" w:line="240" w:lineRule="auto"/>
            </w:pPr>
            <w:r>
              <w:rPr>
                <w:rFonts w:ascii="Arial" w:hAnsi="Arial"/>
                <w:b/>
                <w:sz w:val="20"/>
              </w:rPr>
              <w:t>Onarım öncesi</w:t>
            </w:r>
          </w:p>
        </w:tc>
        <w:tc>
          <w:tcPr>
            <w:tcW w:w="2324" w:type="dxa"/>
          </w:tcPr>
          <w:p w14:paraId="55898CDA">
            <w:pPr>
              <w:spacing w:before="40" w:after="40" w:line="240" w:lineRule="auto"/>
            </w:pPr>
            <w:r>
              <w:rPr>
                <w:rFonts w:ascii="Arial" w:hAnsi="Arial"/>
                <w:b/>
                <w:sz w:val="20"/>
              </w:rPr>
              <w:t>Onarım sonrası</w:t>
            </w:r>
          </w:p>
        </w:tc>
      </w:tr>
      <w:tr w14:paraId="4CB1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2205B8E3">
            <w:pPr>
              <w:spacing w:before="40" w:after="40" w:line="240" w:lineRule="auto"/>
            </w:pPr>
            <w:r>
              <w:rPr>
                <w:rFonts w:ascii="Arial" w:hAnsi="Arial"/>
                <w:b w:val="0"/>
                <w:sz w:val="20"/>
              </w:rPr>
              <w:t>Severe düzeyinde hata sayısı</w:t>
            </w:r>
          </w:p>
        </w:tc>
        <w:tc>
          <w:tcPr>
            <w:tcW w:w="2268" w:type="dxa"/>
          </w:tcPr>
          <w:p w14:paraId="27667B1B">
            <w:pPr>
              <w:spacing w:before="40" w:after="40" w:line="240" w:lineRule="auto"/>
            </w:pPr>
            <w:r>
              <w:rPr>
                <w:rFonts w:ascii="Arial" w:hAnsi="Arial"/>
                <w:b w:val="0"/>
                <w:sz w:val="20"/>
              </w:rPr>
              <w:t>3</w:t>
            </w:r>
          </w:p>
        </w:tc>
        <w:tc>
          <w:tcPr>
            <w:tcW w:w="2324" w:type="dxa"/>
          </w:tcPr>
          <w:p w14:paraId="59D72119">
            <w:pPr>
              <w:spacing w:before="40" w:after="40" w:line="240" w:lineRule="auto"/>
            </w:pPr>
            <w:r>
              <w:rPr>
                <w:rFonts w:ascii="Arial" w:hAnsi="Arial"/>
                <w:b w:val="0"/>
                <w:sz w:val="20"/>
              </w:rPr>
              <w:t>0</w:t>
            </w:r>
          </w:p>
        </w:tc>
      </w:tr>
      <w:tr w14:paraId="4CF17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649E6F90">
            <w:pPr>
              <w:spacing w:before="40" w:after="40" w:line="240" w:lineRule="auto"/>
            </w:pPr>
            <w:r>
              <w:rPr>
                <w:rFonts w:ascii="Arial" w:hAnsi="Arial"/>
                <w:b w:val="0"/>
                <w:sz w:val="20"/>
              </w:rPr>
              <w:t>Toplam saha enerjisi (GJ/yıl)</w:t>
            </w:r>
          </w:p>
        </w:tc>
        <w:tc>
          <w:tcPr>
            <w:tcW w:w="2268" w:type="dxa"/>
          </w:tcPr>
          <w:p w14:paraId="4D34FAEF">
            <w:pPr>
              <w:spacing w:before="40" w:after="40" w:line="240" w:lineRule="auto"/>
            </w:pPr>
            <w:r>
              <w:rPr>
                <w:rFonts w:ascii="Arial" w:hAnsi="Arial"/>
                <w:b w:val="0"/>
                <w:sz w:val="20"/>
              </w:rPr>
              <w:t>2.128,85</w:t>
            </w:r>
          </w:p>
        </w:tc>
        <w:tc>
          <w:tcPr>
            <w:tcW w:w="2324" w:type="dxa"/>
          </w:tcPr>
          <w:p w14:paraId="229AA6E8">
            <w:pPr>
              <w:spacing w:before="40" w:after="40" w:line="240" w:lineRule="auto"/>
            </w:pPr>
            <w:r>
              <w:rPr>
                <w:rFonts w:ascii="Arial" w:hAnsi="Arial"/>
                <w:b w:val="0"/>
                <w:sz w:val="20"/>
              </w:rPr>
              <w:t>1.920,00</w:t>
            </w:r>
          </w:p>
        </w:tc>
      </w:tr>
      <w:tr w14:paraId="1E460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67D0C17A">
            <w:pPr>
              <w:spacing w:before="40" w:after="40" w:line="240" w:lineRule="auto"/>
            </w:pPr>
            <w:r>
              <w:rPr>
                <w:rFonts w:ascii="Arial" w:hAnsi="Arial"/>
                <w:b w:val="0"/>
                <w:sz w:val="20"/>
              </w:rPr>
              <w:t>Enerji yoğunluğu (MJ/m²·yıl)</w:t>
            </w:r>
          </w:p>
        </w:tc>
        <w:tc>
          <w:tcPr>
            <w:tcW w:w="2268" w:type="dxa"/>
          </w:tcPr>
          <w:p w14:paraId="24E60C6D">
            <w:pPr>
              <w:spacing w:before="40" w:after="40" w:line="240" w:lineRule="auto"/>
            </w:pPr>
            <w:r>
              <w:rPr>
                <w:rFonts w:ascii="Arial" w:hAnsi="Arial"/>
                <w:b w:val="0"/>
                <w:sz w:val="20"/>
              </w:rPr>
              <w:t>501,36</w:t>
            </w:r>
          </w:p>
        </w:tc>
        <w:tc>
          <w:tcPr>
            <w:tcW w:w="2324" w:type="dxa"/>
          </w:tcPr>
          <w:p w14:paraId="3CEDACF1">
            <w:pPr>
              <w:spacing w:before="40" w:after="40" w:line="240" w:lineRule="auto"/>
            </w:pPr>
            <w:r>
              <w:rPr>
                <w:rFonts w:ascii="Arial" w:hAnsi="Arial"/>
                <w:b w:val="0"/>
                <w:sz w:val="20"/>
              </w:rPr>
              <w:t>452,17</w:t>
            </w:r>
          </w:p>
        </w:tc>
      </w:tr>
      <w:tr w14:paraId="17F4B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2952D697">
            <w:pPr>
              <w:spacing w:before="40" w:after="40" w:line="240" w:lineRule="auto"/>
            </w:pPr>
            <w:r>
              <w:rPr>
                <w:rFonts w:ascii="Arial" w:hAnsi="Arial"/>
                <w:b w:val="0"/>
                <w:sz w:val="20"/>
              </w:rPr>
              <w:t>İç ekipman enerjisi (GJ/yıl)</w:t>
            </w:r>
          </w:p>
        </w:tc>
        <w:tc>
          <w:tcPr>
            <w:tcW w:w="2268" w:type="dxa"/>
          </w:tcPr>
          <w:p w14:paraId="1382BA06">
            <w:pPr>
              <w:spacing w:before="40" w:after="40" w:line="240" w:lineRule="auto"/>
            </w:pPr>
            <w:r>
              <w:rPr>
                <w:rFonts w:ascii="Arial" w:hAnsi="Arial"/>
                <w:b w:val="0"/>
                <w:sz w:val="20"/>
              </w:rPr>
              <w:t>433,16</w:t>
            </w:r>
          </w:p>
        </w:tc>
        <w:tc>
          <w:tcPr>
            <w:tcW w:w="2324" w:type="dxa"/>
          </w:tcPr>
          <w:p w14:paraId="74B927DB">
            <w:pPr>
              <w:spacing w:before="40" w:after="40" w:line="240" w:lineRule="auto"/>
            </w:pPr>
            <w:r>
              <w:rPr>
                <w:rFonts w:ascii="Arial" w:hAnsi="Arial"/>
                <w:b w:val="0"/>
                <w:sz w:val="20"/>
              </w:rPr>
              <w:t>261,13</w:t>
            </w:r>
          </w:p>
        </w:tc>
      </w:tr>
      <w:tr w14:paraId="4FC0B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38CC6F70">
            <w:pPr>
              <w:spacing w:before="40" w:after="40" w:line="240" w:lineRule="auto"/>
            </w:pPr>
            <w:r>
              <w:rPr>
                <w:rFonts w:ascii="Arial" w:hAnsi="Arial"/>
                <w:b w:val="0"/>
                <w:sz w:val="20"/>
              </w:rPr>
              <w:t>Soğutma enerjisi (GJ/yıl)</w:t>
            </w:r>
          </w:p>
        </w:tc>
        <w:tc>
          <w:tcPr>
            <w:tcW w:w="2268" w:type="dxa"/>
          </w:tcPr>
          <w:p w14:paraId="37FA6848">
            <w:pPr>
              <w:spacing w:before="40" w:after="40" w:line="240" w:lineRule="auto"/>
            </w:pPr>
            <w:r>
              <w:rPr>
                <w:rFonts w:ascii="Arial" w:hAnsi="Arial"/>
                <w:b w:val="0"/>
                <w:sz w:val="20"/>
              </w:rPr>
              <w:t>1.173,86</w:t>
            </w:r>
          </w:p>
        </w:tc>
        <w:tc>
          <w:tcPr>
            <w:tcW w:w="2324" w:type="dxa"/>
          </w:tcPr>
          <w:p w14:paraId="49E16059">
            <w:pPr>
              <w:spacing w:before="40" w:after="40" w:line="240" w:lineRule="auto"/>
            </w:pPr>
            <w:r>
              <w:rPr>
                <w:rFonts w:ascii="Arial" w:hAnsi="Arial"/>
                <w:b w:val="0"/>
                <w:sz w:val="20"/>
              </w:rPr>
              <w:t>1.119,56</w:t>
            </w:r>
          </w:p>
        </w:tc>
      </w:tr>
      <w:tr w14:paraId="2D67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60A05D55">
            <w:pPr>
              <w:spacing w:before="40" w:after="40" w:line="240" w:lineRule="auto"/>
            </w:pPr>
            <w:r>
              <w:rPr>
                <w:rFonts w:ascii="Arial" w:hAnsi="Arial"/>
                <w:b w:val="0"/>
                <w:sz w:val="20"/>
              </w:rPr>
              <w:t>Isıtma enerjisi (GJ/yıl)</w:t>
            </w:r>
          </w:p>
        </w:tc>
        <w:tc>
          <w:tcPr>
            <w:tcW w:w="2268" w:type="dxa"/>
          </w:tcPr>
          <w:p w14:paraId="33417235">
            <w:pPr>
              <w:spacing w:before="40" w:after="40" w:line="240" w:lineRule="auto"/>
            </w:pPr>
            <w:r>
              <w:rPr>
                <w:rFonts w:ascii="Arial" w:hAnsi="Arial"/>
                <w:b w:val="0"/>
                <w:sz w:val="20"/>
              </w:rPr>
              <w:t>30,95</w:t>
            </w:r>
          </w:p>
        </w:tc>
        <w:tc>
          <w:tcPr>
            <w:tcW w:w="2324" w:type="dxa"/>
          </w:tcPr>
          <w:p w14:paraId="5F1DD682">
            <w:pPr>
              <w:spacing w:before="40" w:after="40" w:line="240" w:lineRule="auto"/>
            </w:pPr>
            <w:r>
              <w:rPr>
                <w:rFonts w:ascii="Arial" w:hAnsi="Arial"/>
                <w:b w:val="0"/>
                <w:sz w:val="20"/>
              </w:rPr>
              <w:t>46,20</w:t>
            </w:r>
          </w:p>
        </w:tc>
      </w:tr>
      <w:tr w14:paraId="0B888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329481D8">
            <w:pPr>
              <w:spacing w:before="40" w:after="40" w:line="240" w:lineRule="auto"/>
            </w:pPr>
            <w:r>
              <w:rPr>
                <w:rFonts w:ascii="Arial" w:hAnsi="Arial"/>
                <w:b w:val="0"/>
                <w:sz w:val="20"/>
              </w:rPr>
              <w:t>ASHRAE 55 konforsuz saat</w:t>
            </w:r>
          </w:p>
        </w:tc>
        <w:tc>
          <w:tcPr>
            <w:tcW w:w="2268" w:type="dxa"/>
          </w:tcPr>
          <w:p w14:paraId="146A0A70">
            <w:pPr>
              <w:spacing w:before="40" w:after="40" w:line="240" w:lineRule="auto"/>
            </w:pPr>
            <w:r>
              <w:rPr>
                <w:rFonts w:ascii="Arial" w:hAnsi="Arial"/>
                <w:b w:val="0"/>
                <w:sz w:val="20"/>
              </w:rPr>
              <w:t>3.253,50</w:t>
            </w:r>
          </w:p>
        </w:tc>
        <w:tc>
          <w:tcPr>
            <w:tcW w:w="2324" w:type="dxa"/>
          </w:tcPr>
          <w:p w14:paraId="4D056FC2">
            <w:pPr>
              <w:spacing w:before="40" w:after="40" w:line="240" w:lineRule="auto"/>
            </w:pPr>
            <w:r>
              <w:rPr>
                <w:rFonts w:ascii="Arial" w:hAnsi="Arial"/>
                <w:b w:val="0"/>
                <w:sz w:val="20"/>
              </w:rPr>
              <w:t>494,83</w:t>
            </w:r>
          </w:p>
        </w:tc>
      </w:tr>
      <w:tr w14:paraId="4384D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0C7B95E5">
            <w:pPr>
              <w:spacing w:before="40" w:after="40" w:line="240" w:lineRule="auto"/>
            </w:pPr>
            <w:r>
              <w:rPr>
                <w:rFonts w:ascii="Arial" w:hAnsi="Arial"/>
                <w:b w:val="0"/>
                <w:sz w:val="20"/>
              </w:rPr>
              <w:t>Asansör boşluğu ortalama sıcaklığı (°C)</w:t>
            </w:r>
          </w:p>
        </w:tc>
        <w:tc>
          <w:tcPr>
            <w:tcW w:w="2268" w:type="dxa"/>
          </w:tcPr>
          <w:p w14:paraId="4F0AAB4C">
            <w:pPr>
              <w:spacing w:before="40" w:after="40" w:line="240" w:lineRule="auto"/>
            </w:pPr>
            <w:r>
              <w:rPr>
                <w:rFonts w:ascii="Arial" w:hAnsi="Arial"/>
                <w:b w:val="0"/>
                <w:sz w:val="20"/>
              </w:rPr>
              <w:t>88,0</w:t>
            </w:r>
          </w:p>
        </w:tc>
        <w:tc>
          <w:tcPr>
            <w:tcW w:w="2324" w:type="dxa"/>
          </w:tcPr>
          <w:p w14:paraId="664064FD">
            <w:pPr>
              <w:spacing w:before="40" w:after="40" w:line="240" w:lineRule="auto"/>
            </w:pPr>
            <w:r>
              <w:rPr>
                <w:rFonts w:ascii="Arial" w:hAnsi="Arial"/>
                <w:b w:val="0"/>
                <w:sz w:val="20"/>
              </w:rPr>
              <w:t>21,2</w:t>
            </w:r>
          </w:p>
        </w:tc>
      </w:tr>
    </w:tbl>
    <w:p w14:paraId="49AEE093">
      <w:pPr>
        <w:jc w:val="both"/>
      </w:pPr>
      <w:r>
        <w:rPr>
          <w:rFonts w:ascii="Arial" w:hAnsi="Arial"/>
          <w:sz w:val="22"/>
        </w:rPr>
        <w:t>Isıtma enerjisindeki artış beklenen bir sonuçtur: asansör motorunun aşırı değerlendirilmiş atık ısısı ortadan kalkmış, ayrıca kuyuya eklenen doğal havalandırma ısı atmaya başlamıştır. Onarım sonrası elde edilen 1.920,00 GJ değeri, çalışmanın tüm sonraki adımlarında enerji taban çizgisi olarak kullanılmıştır.</w:t>
      </w:r>
    </w:p>
    <w:p w14:paraId="3DDA6C58">
      <w:pPr>
        <w:pStyle w:val="3"/>
        <w:jc w:val="left"/>
      </w:pPr>
      <w:bookmarkStart w:id="36" w:name="_Toc22330"/>
      <w:r>
        <w:rPr>
          <w:rFonts w:ascii="Arial" w:hAnsi="Arial"/>
          <w:b/>
          <w:sz w:val="22"/>
        </w:rPr>
        <w:t>4.2 Duyarlılık Analizi</w:t>
      </w:r>
      <w:bookmarkEnd w:id="36"/>
    </w:p>
    <w:p w14:paraId="28FD46E8">
      <w:pPr>
        <w:jc w:val="both"/>
      </w:pPr>
      <w:r>
        <w:rPr>
          <w:rFonts w:ascii="Arial" w:hAnsi="Arial"/>
          <w:sz w:val="22"/>
        </w:rPr>
        <w:t>Toplam saha enerjisi hedefine ilişkin Sobol duyarlılık indisleri Tablo 4.2'de sayısal olarak, Şekil 4.1'de ise görsel olarak sunulmuştur. Sıralamanın ilk basamağında 0,5687 birinci mertebe indisiyle Chiller COP yer almaktadır; tek bu değişken enerji varyansının yaklaşık %57'ini açıklamaktadır.</w:t>
      </w:r>
    </w:p>
    <w:p w14:paraId="022A3950">
      <w:pPr>
        <w:spacing w:before="120" w:after="120" w:line="240" w:lineRule="auto"/>
        <w:jc w:val="left"/>
      </w:pPr>
      <w:r>
        <w:rPr>
          <w:rFonts w:ascii="Arial" w:hAnsi="Arial"/>
          <w:sz w:val="20"/>
        </w:rPr>
        <w:t>Tablo 4.2. Toplam saha enerjisi için Sobol duyarlılık indisleri</w:t>
      </w:r>
      <w:bookmarkStart w:id="37" w:name="_Toc5048"/>
      <w:r>
        <w:rPr>
          <w:vanish/>
        </w:rPr>
        <w:fldChar w:fldCharType="begin"/>
      </w:r>
      <w:r>
        <w:rPr>
          <w:vanish/>
        </w:rPr>
        <w:instrText xml:space="preserve"> TC "Tablo 4.2. Toplam saha enerjisi için Sobol duyarlılık indisleri" \f t </w:instrText>
      </w:r>
      <w:r>
        <w:rPr>
          <w:vanish/>
        </w:rPr>
        <w:fldChar w:fldCharType="end"/>
      </w:r>
      <w:bookmarkEnd w:id="37"/>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
        <w:gridCol w:w="3969"/>
        <w:gridCol w:w="1928"/>
        <w:gridCol w:w="1984"/>
      </w:tblGrid>
      <w:tr w14:paraId="53EC6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18E36B6">
            <w:pPr>
              <w:spacing w:before="40" w:after="40" w:line="240" w:lineRule="auto"/>
            </w:pPr>
            <w:r>
              <w:rPr>
                <w:rFonts w:ascii="Arial" w:hAnsi="Arial"/>
                <w:b/>
                <w:sz w:val="20"/>
              </w:rPr>
              <w:t>Sıra</w:t>
            </w:r>
          </w:p>
        </w:tc>
        <w:tc>
          <w:tcPr>
            <w:tcW w:w="3969" w:type="dxa"/>
          </w:tcPr>
          <w:p w14:paraId="2A763A5F">
            <w:pPr>
              <w:spacing w:before="40" w:after="40" w:line="240" w:lineRule="auto"/>
            </w:pPr>
            <w:r>
              <w:rPr>
                <w:rFonts w:ascii="Arial" w:hAnsi="Arial"/>
                <w:b/>
                <w:sz w:val="20"/>
              </w:rPr>
              <w:t>Karar değişkeni</w:t>
            </w:r>
          </w:p>
        </w:tc>
        <w:tc>
          <w:tcPr>
            <w:tcW w:w="1928" w:type="dxa"/>
          </w:tcPr>
          <w:p w14:paraId="50929296">
            <w:pPr>
              <w:spacing w:before="40" w:after="40" w:line="240" w:lineRule="auto"/>
            </w:pPr>
            <w:r>
              <w:rPr>
                <w:rFonts w:ascii="Arial" w:hAnsi="Arial"/>
                <w:b/>
                <w:sz w:val="20"/>
              </w:rPr>
              <w:t>Birinci mertebe (S₁)</w:t>
            </w:r>
          </w:p>
        </w:tc>
        <w:tc>
          <w:tcPr>
            <w:tcW w:w="1984" w:type="dxa"/>
          </w:tcPr>
          <w:p w14:paraId="169B75A9">
            <w:pPr>
              <w:spacing w:before="40" w:after="40" w:line="240" w:lineRule="auto"/>
            </w:pPr>
            <w:r>
              <w:rPr>
                <w:rFonts w:ascii="Arial" w:hAnsi="Arial"/>
                <w:b/>
                <w:sz w:val="20"/>
              </w:rPr>
              <w:t>Toplam etki (S_T)</w:t>
            </w:r>
          </w:p>
        </w:tc>
      </w:tr>
      <w:tr w14:paraId="788CA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777DC4FF">
            <w:pPr>
              <w:spacing w:before="40" w:after="40" w:line="240" w:lineRule="auto"/>
            </w:pPr>
            <w:r>
              <w:rPr>
                <w:rFonts w:ascii="Arial" w:hAnsi="Arial"/>
                <w:b w:val="0"/>
                <w:sz w:val="20"/>
              </w:rPr>
              <w:t>1</w:t>
            </w:r>
          </w:p>
        </w:tc>
        <w:tc>
          <w:tcPr>
            <w:tcW w:w="3969" w:type="dxa"/>
          </w:tcPr>
          <w:p w14:paraId="1AAB8119">
            <w:pPr>
              <w:spacing w:before="40" w:after="40" w:line="240" w:lineRule="auto"/>
            </w:pPr>
            <w:r>
              <w:rPr>
                <w:rFonts w:ascii="Arial" w:hAnsi="Arial"/>
                <w:b w:val="0"/>
                <w:sz w:val="20"/>
              </w:rPr>
              <w:t>Chiller COP</w:t>
            </w:r>
          </w:p>
        </w:tc>
        <w:tc>
          <w:tcPr>
            <w:tcW w:w="1928" w:type="dxa"/>
          </w:tcPr>
          <w:p w14:paraId="03CDB91D">
            <w:pPr>
              <w:spacing w:before="40" w:after="40" w:line="240" w:lineRule="auto"/>
            </w:pPr>
            <w:r>
              <w:rPr>
                <w:rFonts w:ascii="Arial" w:hAnsi="Arial"/>
                <w:b w:val="0"/>
                <w:sz w:val="20"/>
              </w:rPr>
              <w:t>0,5687</w:t>
            </w:r>
          </w:p>
        </w:tc>
        <w:tc>
          <w:tcPr>
            <w:tcW w:w="1984" w:type="dxa"/>
          </w:tcPr>
          <w:p w14:paraId="103C668E">
            <w:pPr>
              <w:spacing w:before="40" w:after="40" w:line="240" w:lineRule="auto"/>
            </w:pPr>
            <w:r>
              <w:rPr>
                <w:rFonts w:ascii="Arial" w:hAnsi="Arial"/>
                <w:b w:val="0"/>
                <w:sz w:val="20"/>
              </w:rPr>
              <w:t>0,5720</w:t>
            </w:r>
          </w:p>
        </w:tc>
      </w:tr>
      <w:tr w14:paraId="058D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26112D9">
            <w:pPr>
              <w:spacing w:before="40" w:after="40" w:line="240" w:lineRule="auto"/>
            </w:pPr>
            <w:r>
              <w:rPr>
                <w:rFonts w:ascii="Arial" w:hAnsi="Arial"/>
                <w:b w:val="0"/>
                <w:sz w:val="20"/>
              </w:rPr>
              <w:t>2</w:t>
            </w:r>
          </w:p>
        </w:tc>
        <w:tc>
          <w:tcPr>
            <w:tcW w:w="3969" w:type="dxa"/>
          </w:tcPr>
          <w:p w14:paraId="0AF8E8DB">
            <w:pPr>
              <w:spacing w:before="40" w:after="40" w:line="240" w:lineRule="auto"/>
            </w:pPr>
            <w:r>
              <w:rPr>
                <w:rFonts w:ascii="Arial" w:hAnsi="Arial"/>
                <w:b w:val="0"/>
                <w:sz w:val="20"/>
              </w:rPr>
              <w:t>Soğutma ayar noktası</w:t>
            </w:r>
          </w:p>
        </w:tc>
        <w:tc>
          <w:tcPr>
            <w:tcW w:w="1928" w:type="dxa"/>
          </w:tcPr>
          <w:p w14:paraId="2A84519B">
            <w:pPr>
              <w:spacing w:before="40" w:after="40" w:line="240" w:lineRule="auto"/>
            </w:pPr>
            <w:r>
              <w:rPr>
                <w:rFonts w:ascii="Arial" w:hAnsi="Arial"/>
                <w:b w:val="0"/>
                <w:sz w:val="20"/>
              </w:rPr>
              <w:t>0,2214</w:t>
            </w:r>
          </w:p>
        </w:tc>
        <w:tc>
          <w:tcPr>
            <w:tcW w:w="1984" w:type="dxa"/>
          </w:tcPr>
          <w:p w14:paraId="7D6E2F06">
            <w:pPr>
              <w:spacing w:before="40" w:after="40" w:line="240" w:lineRule="auto"/>
            </w:pPr>
            <w:r>
              <w:rPr>
                <w:rFonts w:ascii="Arial" w:hAnsi="Arial"/>
                <w:b w:val="0"/>
                <w:sz w:val="20"/>
              </w:rPr>
              <w:t>0,2502</w:t>
            </w:r>
          </w:p>
        </w:tc>
      </w:tr>
      <w:tr w14:paraId="61A1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7DACD22B">
            <w:pPr>
              <w:spacing w:before="40" w:after="40" w:line="240" w:lineRule="auto"/>
            </w:pPr>
            <w:r>
              <w:rPr>
                <w:rFonts w:ascii="Arial" w:hAnsi="Arial"/>
                <w:b w:val="0"/>
                <w:sz w:val="20"/>
              </w:rPr>
              <w:t>3</w:t>
            </w:r>
          </w:p>
        </w:tc>
        <w:tc>
          <w:tcPr>
            <w:tcW w:w="3969" w:type="dxa"/>
          </w:tcPr>
          <w:p w14:paraId="17D640B1">
            <w:pPr>
              <w:spacing w:before="40" w:after="40" w:line="240" w:lineRule="auto"/>
            </w:pPr>
            <w:r>
              <w:rPr>
                <w:rFonts w:ascii="Arial" w:hAnsi="Arial"/>
                <w:b w:val="0"/>
                <w:sz w:val="20"/>
              </w:rPr>
              <w:t>Cam tipi</w:t>
            </w:r>
          </w:p>
        </w:tc>
        <w:tc>
          <w:tcPr>
            <w:tcW w:w="1928" w:type="dxa"/>
          </w:tcPr>
          <w:p w14:paraId="3E651100">
            <w:pPr>
              <w:spacing w:before="40" w:after="40" w:line="240" w:lineRule="auto"/>
            </w:pPr>
            <w:r>
              <w:rPr>
                <w:rFonts w:ascii="Arial" w:hAnsi="Arial"/>
                <w:b w:val="0"/>
                <w:sz w:val="20"/>
              </w:rPr>
              <w:t>0,1234</w:t>
            </w:r>
          </w:p>
        </w:tc>
        <w:tc>
          <w:tcPr>
            <w:tcW w:w="1984" w:type="dxa"/>
          </w:tcPr>
          <w:p w14:paraId="34CB5DEB">
            <w:pPr>
              <w:spacing w:before="40" w:after="40" w:line="240" w:lineRule="auto"/>
            </w:pPr>
            <w:r>
              <w:rPr>
                <w:rFonts w:ascii="Arial" w:hAnsi="Arial"/>
                <w:b w:val="0"/>
                <w:sz w:val="20"/>
              </w:rPr>
              <w:t>0,1288</w:t>
            </w:r>
          </w:p>
        </w:tc>
      </w:tr>
      <w:tr w14:paraId="446B3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4EC35D9">
            <w:pPr>
              <w:spacing w:before="40" w:after="40" w:line="240" w:lineRule="auto"/>
            </w:pPr>
            <w:r>
              <w:rPr>
                <w:rFonts w:ascii="Arial" w:hAnsi="Arial"/>
                <w:b w:val="0"/>
                <w:sz w:val="20"/>
              </w:rPr>
              <w:t>4</w:t>
            </w:r>
          </w:p>
        </w:tc>
        <w:tc>
          <w:tcPr>
            <w:tcW w:w="3969" w:type="dxa"/>
          </w:tcPr>
          <w:p w14:paraId="23C33939">
            <w:pPr>
              <w:spacing w:before="40" w:after="40" w:line="240" w:lineRule="auto"/>
            </w:pPr>
            <w:r>
              <w:rPr>
                <w:rFonts w:ascii="Arial" w:hAnsi="Arial"/>
                <w:b w:val="0"/>
                <w:sz w:val="20"/>
              </w:rPr>
              <w:t>Aydınlatma – ofis, salon, atölye</w:t>
            </w:r>
          </w:p>
        </w:tc>
        <w:tc>
          <w:tcPr>
            <w:tcW w:w="1928" w:type="dxa"/>
          </w:tcPr>
          <w:p w14:paraId="7FF282B9">
            <w:pPr>
              <w:spacing w:before="40" w:after="40" w:line="240" w:lineRule="auto"/>
            </w:pPr>
            <w:r>
              <w:rPr>
                <w:rFonts w:ascii="Arial" w:hAnsi="Arial"/>
                <w:b w:val="0"/>
                <w:sz w:val="20"/>
              </w:rPr>
              <w:t>0,0598</w:t>
            </w:r>
          </w:p>
        </w:tc>
        <w:tc>
          <w:tcPr>
            <w:tcW w:w="1984" w:type="dxa"/>
          </w:tcPr>
          <w:p w14:paraId="3825A9D0">
            <w:pPr>
              <w:spacing w:before="40" w:after="40" w:line="240" w:lineRule="auto"/>
            </w:pPr>
            <w:r>
              <w:rPr>
                <w:rFonts w:ascii="Arial" w:hAnsi="Arial"/>
                <w:b w:val="0"/>
                <w:sz w:val="20"/>
              </w:rPr>
              <w:t>0,0791</w:t>
            </w:r>
          </w:p>
        </w:tc>
      </w:tr>
      <w:tr w14:paraId="3C528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E41863D">
            <w:pPr>
              <w:spacing w:before="40" w:after="40" w:line="240" w:lineRule="auto"/>
            </w:pPr>
            <w:r>
              <w:rPr>
                <w:rFonts w:ascii="Arial" w:hAnsi="Arial"/>
                <w:b w:val="0"/>
                <w:sz w:val="20"/>
              </w:rPr>
              <w:t>5</w:t>
            </w:r>
          </w:p>
        </w:tc>
        <w:tc>
          <w:tcPr>
            <w:tcW w:w="3969" w:type="dxa"/>
          </w:tcPr>
          <w:p w14:paraId="7DAD7C4E">
            <w:pPr>
              <w:spacing w:before="40" w:after="40" w:line="240" w:lineRule="auto"/>
            </w:pPr>
            <w:r>
              <w:rPr>
                <w:rFonts w:ascii="Arial" w:hAnsi="Arial"/>
                <w:b w:val="0"/>
                <w:sz w:val="20"/>
              </w:rPr>
              <w:t>Isıtma ayar noktası</w:t>
            </w:r>
          </w:p>
        </w:tc>
        <w:tc>
          <w:tcPr>
            <w:tcW w:w="1928" w:type="dxa"/>
          </w:tcPr>
          <w:p w14:paraId="4EC3E744">
            <w:pPr>
              <w:spacing w:before="40" w:after="40" w:line="240" w:lineRule="auto"/>
            </w:pPr>
            <w:r>
              <w:rPr>
                <w:rFonts w:ascii="Arial" w:hAnsi="Arial"/>
                <w:b w:val="0"/>
                <w:sz w:val="20"/>
              </w:rPr>
              <w:t>0,0016</w:t>
            </w:r>
          </w:p>
        </w:tc>
        <w:tc>
          <w:tcPr>
            <w:tcW w:w="1984" w:type="dxa"/>
          </w:tcPr>
          <w:p w14:paraId="06C88B55">
            <w:pPr>
              <w:spacing w:before="40" w:after="40" w:line="240" w:lineRule="auto"/>
            </w:pPr>
            <w:r>
              <w:rPr>
                <w:rFonts w:ascii="Arial" w:hAnsi="Arial"/>
                <w:b w:val="0"/>
                <w:sz w:val="20"/>
              </w:rPr>
              <w:t>0,0057</w:t>
            </w:r>
          </w:p>
        </w:tc>
      </w:tr>
      <w:tr w14:paraId="51313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F1076BE">
            <w:pPr>
              <w:spacing w:before="40" w:after="40" w:line="240" w:lineRule="auto"/>
            </w:pPr>
            <w:r>
              <w:rPr>
                <w:rFonts w:ascii="Arial" w:hAnsi="Arial"/>
                <w:b w:val="0"/>
                <w:sz w:val="20"/>
              </w:rPr>
              <w:t>6</w:t>
            </w:r>
          </w:p>
        </w:tc>
        <w:tc>
          <w:tcPr>
            <w:tcW w:w="3969" w:type="dxa"/>
          </w:tcPr>
          <w:p w14:paraId="1FAA3EBF">
            <w:pPr>
              <w:spacing w:before="40" w:after="40" w:line="240" w:lineRule="auto"/>
            </w:pPr>
            <w:r>
              <w:rPr>
                <w:rFonts w:ascii="Arial" w:hAnsi="Arial"/>
                <w:b w:val="0"/>
                <w:sz w:val="20"/>
              </w:rPr>
              <w:t>Aydınlatma – koridor, merdiven, WC</w:t>
            </w:r>
          </w:p>
        </w:tc>
        <w:tc>
          <w:tcPr>
            <w:tcW w:w="1928" w:type="dxa"/>
          </w:tcPr>
          <w:p w14:paraId="218F9F65">
            <w:pPr>
              <w:spacing w:before="40" w:after="40" w:line="240" w:lineRule="auto"/>
            </w:pPr>
            <w:r>
              <w:rPr>
                <w:rFonts w:ascii="Arial" w:hAnsi="Arial"/>
                <w:b w:val="0"/>
                <w:sz w:val="20"/>
              </w:rPr>
              <w:t>0,0048</w:t>
            </w:r>
          </w:p>
        </w:tc>
        <w:tc>
          <w:tcPr>
            <w:tcW w:w="1984" w:type="dxa"/>
          </w:tcPr>
          <w:p w14:paraId="112EAE00">
            <w:pPr>
              <w:spacing w:before="40" w:after="40" w:line="240" w:lineRule="auto"/>
            </w:pPr>
            <w:r>
              <w:rPr>
                <w:rFonts w:ascii="Arial" w:hAnsi="Arial"/>
                <w:b w:val="0"/>
                <w:sz w:val="20"/>
              </w:rPr>
              <w:t>0,0037</w:t>
            </w:r>
          </w:p>
        </w:tc>
      </w:tr>
      <w:tr w14:paraId="6E74E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CA08741">
            <w:pPr>
              <w:spacing w:before="40" w:after="40" w:line="240" w:lineRule="auto"/>
            </w:pPr>
            <w:r>
              <w:rPr>
                <w:rFonts w:ascii="Arial" w:hAnsi="Arial"/>
                <w:b w:val="0"/>
                <w:sz w:val="20"/>
              </w:rPr>
              <w:t>7</w:t>
            </w:r>
          </w:p>
        </w:tc>
        <w:tc>
          <w:tcPr>
            <w:tcW w:w="3969" w:type="dxa"/>
          </w:tcPr>
          <w:p w14:paraId="2C49770E">
            <w:pPr>
              <w:spacing w:before="40" w:after="40" w:line="240" w:lineRule="auto"/>
            </w:pPr>
            <w:r>
              <w:rPr>
                <w:rFonts w:ascii="Arial" w:hAnsi="Arial"/>
                <w:b w:val="0"/>
                <w:sz w:val="20"/>
              </w:rPr>
              <w:t>Asansör motoru gücü</w:t>
            </w:r>
          </w:p>
        </w:tc>
        <w:tc>
          <w:tcPr>
            <w:tcW w:w="1928" w:type="dxa"/>
          </w:tcPr>
          <w:p w14:paraId="75CDADAD">
            <w:pPr>
              <w:spacing w:before="40" w:after="40" w:line="240" w:lineRule="auto"/>
            </w:pPr>
            <w:r>
              <w:rPr>
                <w:rFonts w:ascii="Arial" w:hAnsi="Arial"/>
                <w:b w:val="0"/>
                <w:sz w:val="20"/>
              </w:rPr>
              <w:t>0,0031</w:t>
            </w:r>
          </w:p>
        </w:tc>
        <w:tc>
          <w:tcPr>
            <w:tcW w:w="1984" w:type="dxa"/>
          </w:tcPr>
          <w:p w14:paraId="7FF6245A">
            <w:pPr>
              <w:spacing w:before="40" w:after="40" w:line="240" w:lineRule="auto"/>
            </w:pPr>
            <w:r>
              <w:rPr>
                <w:rFonts w:ascii="Arial" w:hAnsi="Arial"/>
                <w:b w:val="0"/>
                <w:sz w:val="20"/>
              </w:rPr>
              <w:t>0,0019</w:t>
            </w:r>
          </w:p>
        </w:tc>
      </w:tr>
      <w:tr w14:paraId="4CE38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716A4A71">
            <w:pPr>
              <w:spacing w:before="40" w:after="40" w:line="240" w:lineRule="auto"/>
            </w:pPr>
            <w:r>
              <w:rPr>
                <w:rFonts w:ascii="Arial" w:hAnsi="Arial"/>
                <w:b w:val="0"/>
                <w:sz w:val="20"/>
              </w:rPr>
              <w:t>8</w:t>
            </w:r>
          </w:p>
        </w:tc>
        <w:tc>
          <w:tcPr>
            <w:tcW w:w="3969" w:type="dxa"/>
          </w:tcPr>
          <w:p w14:paraId="53317F3D">
            <w:pPr>
              <w:spacing w:before="40" w:after="40" w:line="240" w:lineRule="auto"/>
            </w:pPr>
            <w:r>
              <w:rPr>
                <w:rFonts w:ascii="Arial" w:hAnsi="Arial"/>
                <w:b w:val="0"/>
                <w:sz w:val="20"/>
              </w:rPr>
              <w:t>Kazan verimi</w:t>
            </w:r>
          </w:p>
        </w:tc>
        <w:tc>
          <w:tcPr>
            <w:tcW w:w="1928" w:type="dxa"/>
          </w:tcPr>
          <w:p w14:paraId="1BD52F05">
            <w:pPr>
              <w:spacing w:before="40" w:after="40" w:line="240" w:lineRule="auto"/>
            </w:pPr>
            <w:r>
              <w:rPr>
                <w:rFonts w:ascii="Arial" w:hAnsi="Arial"/>
                <w:b w:val="0"/>
                <w:sz w:val="20"/>
              </w:rPr>
              <w:t>0,0086</w:t>
            </w:r>
          </w:p>
        </w:tc>
        <w:tc>
          <w:tcPr>
            <w:tcW w:w="1984" w:type="dxa"/>
          </w:tcPr>
          <w:p w14:paraId="3E696F56">
            <w:pPr>
              <w:spacing w:before="40" w:after="40" w:line="240" w:lineRule="auto"/>
            </w:pPr>
            <w:r>
              <w:rPr>
                <w:rFonts w:ascii="Arial" w:hAnsi="Arial"/>
                <w:b w:val="0"/>
                <w:sz w:val="20"/>
              </w:rPr>
              <w:t>0,0011</w:t>
            </w:r>
          </w:p>
        </w:tc>
      </w:tr>
      <w:tr w14:paraId="08221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700EE49F">
            <w:pPr>
              <w:spacing w:before="40" w:after="40" w:line="240" w:lineRule="auto"/>
            </w:pPr>
            <w:r>
              <w:rPr>
                <w:rFonts w:ascii="Arial" w:hAnsi="Arial"/>
                <w:b w:val="0"/>
                <w:sz w:val="20"/>
              </w:rPr>
              <w:t>9</w:t>
            </w:r>
          </w:p>
        </w:tc>
        <w:tc>
          <w:tcPr>
            <w:tcW w:w="3969" w:type="dxa"/>
          </w:tcPr>
          <w:p w14:paraId="6E52310D">
            <w:pPr>
              <w:spacing w:before="40" w:after="40" w:line="240" w:lineRule="auto"/>
            </w:pPr>
            <w:r>
              <w:rPr>
                <w:rFonts w:ascii="Arial" w:hAnsi="Arial"/>
                <w:b w:val="0"/>
                <w:sz w:val="20"/>
              </w:rPr>
              <w:t>EPS ısıl iletkenliği</w:t>
            </w:r>
          </w:p>
        </w:tc>
        <w:tc>
          <w:tcPr>
            <w:tcW w:w="1928" w:type="dxa"/>
          </w:tcPr>
          <w:p w14:paraId="4F542153">
            <w:pPr>
              <w:spacing w:before="40" w:after="40" w:line="240" w:lineRule="auto"/>
            </w:pPr>
            <w:r>
              <w:rPr>
                <w:rFonts w:ascii="Arial" w:hAnsi="Arial"/>
                <w:b w:val="0"/>
                <w:sz w:val="20"/>
              </w:rPr>
              <w:t>0,0031</w:t>
            </w:r>
          </w:p>
        </w:tc>
        <w:tc>
          <w:tcPr>
            <w:tcW w:w="1984" w:type="dxa"/>
          </w:tcPr>
          <w:p w14:paraId="5BC84BB5">
            <w:pPr>
              <w:spacing w:before="40" w:after="40" w:line="240" w:lineRule="auto"/>
            </w:pPr>
            <w:r>
              <w:rPr>
                <w:rFonts w:ascii="Arial" w:hAnsi="Arial"/>
                <w:b w:val="0"/>
                <w:sz w:val="20"/>
              </w:rPr>
              <w:t>0,0008</w:t>
            </w:r>
          </w:p>
        </w:tc>
      </w:tr>
      <w:tr w14:paraId="13CB6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7A12AEA4">
            <w:pPr>
              <w:spacing w:before="40" w:after="40" w:line="240" w:lineRule="auto"/>
            </w:pPr>
            <w:r>
              <w:rPr>
                <w:rFonts w:ascii="Arial" w:hAnsi="Arial"/>
                <w:b w:val="0"/>
                <w:sz w:val="20"/>
              </w:rPr>
              <w:t>10</w:t>
            </w:r>
          </w:p>
        </w:tc>
        <w:tc>
          <w:tcPr>
            <w:tcW w:w="3969" w:type="dxa"/>
          </w:tcPr>
          <w:p w14:paraId="7BB98775">
            <w:pPr>
              <w:spacing w:before="40" w:after="40" w:line="240" w:lineRule="auto"/>
            </w:pPr>
            <w:r>
              <w:rPr>
                <w:rFonts w:ascii="Arial" w:hAnsi="Arial"/>
                <w:b w:val="0"/>
                <w:sz w:val="20"/>
              </w:rPr>
              <w:t>Sızdırmazlık çarpanı</w:t>
            </w:r>
          </w:p>
        </w:tc>
        <w:tc>
          <w:tcPr>
            <w:tcW w:w="1928" w:type="dxa"/>
          </w:tcPr>
          <w:p w14:paraId="15747A73">
            <w:pPr>
              <w:spacing w:before="40" w:after="40" w:line="240" w:lineRule="auto"/>
            </w:pPr>
            <w:r>
              <w:rPr>
                <w:rFonts w:ascii="Arial" w:hAnsi="Arial"/>
                <w:b w:val="0"/>
                <w:sz w:val="20"/>
              </w:rPr>
              <w:t>0,0022</w:t>
            </w:r>
          </w:p>
        </w:tc>
        <w:tc>
          <w:tcPr>
            <w:tcW w:w="1984" w:type="dxa"/>
          </w:tcPr>
          <w:p w14:paraId="4440967A">
            <w:pPr>
              <w:spacing w:before="40" w:after="40" w:line="240" w:lineRule="auto"/>
            </w:pPr>
            <w:r>
              <w:rPr>
                <w:rFonts w:ascii="Arial" w:hAnsi="Arial"/>
                <w:b w:val="0"/>
                <w:sz w:val="20"/>
              </w:rPr>
              <w:t>0,0008</w:t>
            </w:r>
          </w:p>
        </w:tc>
      </w:tr>
      <w:tr w14:paraId="489F9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75E06B5">
            <w:pPr>
              <w:spacing w:before="40" w:after="40" w:line="240" w:lineRule="auto"/>
            </w:pPr>
            <w:r>
              <w:rPr>
                <w:rFonts w:ascii="Arial" w:hAnsi="Arial"/>
                <w:b w:val="0"/>
                <w:sz w:val="20"/>
              </w:rPr>
              <w:t>11</w:t>
            </w:r>
          </w:p>
        </w:tc>
        <w:tc>
          <w:tcPr>
            <w:tcW w:w="3969" w:type="dxa"/>
          </w:tcPr>
          <w:p w14:paraId="5AA1E86E">
            <w:pPr>
              <w:spacing w:before="40" w:after="40" w:line="240" w:lineRule="auto"/>
            </w:pPr>
            <w:r>
              <w:rPr>
                <w:rFonts w:ascii="Arial" w:hAnsi="Arial"/>
                <w:b w:val="0"/>
                <w:sz w:val="20"/>
              </w:rPr>
              <w:t>EPS kalınlığı</w:t>
            </w:r>
          </w:p>
        </w:tc>
        <w:tc>
          <w:tcPr>
            <w:tcW w:w="1928" w:type="dxa"/>
          </w:tcPr>
          <w:p w14:paraId="30D70DA1">
            <w:pPr>
              <w:spacing w:before="40" w:after="40" w:line="240" w:lineRule="auto"/>
            </w:pPr>
            <w:r>
              <w:rPr>
                <w:rFonts w:ascii="Arial" w:hAnsi="Arial"/>
                <w:b w:val="0"/>
                <w:sz w:val="20"/>
              </w:rPr>
              <w:t>0,0002</w:t>
            </w:r>
          </w:p>
        </w:tc>
        <w:tc>
          <w:tcPr>
            <w:tcW w:w="1984" w:type="dxa"/>
          </w:tcPr>
          <w:p w14:paraId="1F50306A">
            <w:pPr>
              <w:spacing w:before="40" w:after="40" w:line="240" w:lineRule="auto"/>
            </w:pPr>
            <w:r>
              <w:rPr>
                <w:rFonts w:ascii="Arial" w:hAnsi="Arial"/>
                <w:b w:val="0"/>
                <w:sz w:val="20"/>
              </w:rPr>
              <w:t>0,0004</w:t>
            </w:r>
          </w:p>
        </w:tc>
      </w:tr>
    </w:tbl>
    <w:p w14:paraId="3CBA084F">
      <w:pPr>
        <w:spacing w:before="120" w:after="0"/>
        <w:jc w:val="center"/>
      </w:pPr>
      <w:r>
        <w:drawing>
          <wp:inline distT="0" distB="0" distL="114300" distR="114300">
            <wp:extent cx="5399405" cy="2941320"/>
            <wp:effectExtent l="0" t="0" r="1079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400000" cy="2941763"/>
                    </a:xfrm>
                    <a:prstGeom prst="rect">
                      <a:avLst/>
                    </a:prstGeom>
                  </pic:spPr>
                </pic:pic>
              </a:graphicData>
            </a:graphic>
          </wp:inline>
        </w:drawing>
      </w:r>
    </w:p>
    <w:p w14:paraId="0B268062">
      <w:pPr>
        <w:spacing w:before="120" w:after="120" w:line="240" w:lineRule="auto"/>
        <w:jc w:val="left"/>
      </w:pPr>
      <w:r>
        <w:rPr>
          <w:rFonts w:ascii="Arial" w:hAnsi="Arial"/>
          <w:sz w:val="20"/>
        </w:rPr>
        <w:t>Şekil 4.1. Karar değişkenlerinin toplam saha enerjisine ilişkin Sobol birinci mertebe ve toplam etki indisleri</w:t>
      </w:r>
      <w:bookmarkStart w:id="38" w:name="_Toc28427"/>
      <w:r>
        <w:rPr>
          <w:vanish/>
        </w:rPr>
        <w:fldChar w:fldCharType="begin"/>
      </w:r>
      <w:r>
        <w:rPr>
          <w:vanish/>
        </w:rPr>
        <w:instrText xml:space="preserve"> TC "Şekil 4.1. Karar değişkenlerinin toplam saha enerjisine ilişkin Sobol birinci mertebe ve toplam etki indisleri" \f g </w:instrText>
      </w:r>
      <w:r>
        <w:rPr>
          <w:vanish/>
        </w:rPr>
        <w:fldChar w:fldCharType="end"/>
      </w:r>
      <w:bookmarkEnd w:id="38"/>
    </w:p>
    <w:p w14:paraId="10D7359D">
      <w:pPr>
        <w:jc w:val="both"/>
      </w:pPr>
      <w:r>
        <w:rPr>
          <w:rFonts w:ascii="Arial" w:hAnsi="Arial"/>
          <w:sz w:val="22"/>
        </w:rPr>
        <w:t>Başlangıç hipotezinin değişkeni olan EPS kalınlığı, on bir değişken arasında son sırada yer almaktadır. Birinci mertebe indisi 0,0002, toplam etki indisi ise 0,0004 değerindedir; bir başka deyişle değişken, enerji varyansının binde birini dahi açıklamamaktadır. Isıl iletkenlik değişkeni de aynı biçimde sıralamanın alt basamaklarındadır. Bu bulgu, yalıtım kalınlığının bu bina için etkili bir müdahale kalemi olmadığının birinci kanıtıdır.</w:t>
      </w:r>
    </w:p>
    <w:p w14:paraId="44D30D6C">
      <w:pPr>
        <w:pStyle w:val="3"/>
        <w:jc w:val="left"/>
      </w:pPr>
      <w:bookmarkStart w:id="39" w:name="_Toc9904"/>
      <w:r>
        <w:rPr>
          <w:rFonts w:ascii="Arial" w:hAnsi="Arial"/>
          <w:b/>
          <w:sz w:val="22"/>
        </w:rPr>
        <w:t>4.3 ISO 50001 Göstergeleri ve Önemli Enerji Kullanımları</w:t>
      </w:r>
      <w:bookmarkEnd w:id="39"/>
    </w:p>
    <w:p w14:paraId="5FD788A1">
      <w:pPr>
        <w:jc w:val="both"/>
      </w:pPr>
      <w:r>
        <w:rPr>
          <w:rFonts w:ascii="Arial" w:hAnsi="Arial"/>
          <w:sz w:val="22"/>
        </w:rPr>
        <w:t>Son kullanım kalemlerinin dağılımı Tablo 4.3 ve Şekil 4.2'de verilmiştir. Kümülatif pay, ilk 3 kalemde %84,4 değerine ulaşarak %80 eşiğini aşmaktadır; dolayısıyla ISO 50001 kapsamındaki önemli enerji kullanımları Soğutma, İç ekipman, Fanlar kalemleridir.</w:t>
      </w:r>
    </w:p>
    <w:p w14:paraId="41070CB3">
      <w:pPr>
        <w:spacing w:before="120" w:after="120" w:line="240" w:lineRule="auto"/>
        <w:jc w:val="left"/>
      </w:pPr>
      <w:r>
        <w:rPr>
          <w:rFonts w:ascii="Arial" w:hAnsi="Arial"/>
          <w:sz w:val="20"/>
        </w:rPr>
        <w:t>Tablo 4.3. Son kullanımlara göre enerji dağılımı ve önemli enerji kullanımları</w:t>
      </w:r>
      <w:bookmarkStart w:id="40" w:name="_Toc27262"/>
      <w:r>
        <w:rPr>
          <w:vanish/>
        </w:rPr>
        <w:fldChar w:fldCharType="begin"/>
      </w:r>
      <w:r>
        <w:rPr>
          <w:vanish/>
        </w:rPr>
        <w:instrText xml:space="preserve"> TC "Tablo 4.3. Son kullanımlara göre enerji dağılımı ve önemli enerji kullanımları" \f t </w:instrText>
      </w:r>
      <w:r>
        <w:rPr>
          <w:vanish/>
        </w:rPr>
        <w:fldChar w:fldCharType="end"/>
      </w:r>
      <w:bookmarkEnd w:id="40"/>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1928"/>
        <w:gridCol w:w="1361"/>
        <w:gridCol w:w="1701"/>
        <w:gridCol w:w="1304"/>
      </w:tblGrid>
      <w:tr w14:paraId="58621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3FAFCF26">
            <w:pPr>
              <w:spacing w:before="40" w:after="40" w:line="240" w:lineRule="auto"/>
            </w:pPr>
            <w:r>
              <w:rPr>
                <w:rFonts w:ascii="Arial" w:hAnsi="Arial"/>
                <w:b/>
                <w:sz w:val="20"/>
              </w:rPr>
              <w:t>Son kullanım</w:t>
            </w:r>
          </w:p>
        </w:tc>
        <w:tc>
          <w:tcPr>
            <w:tcW w:w="1928" w:type="dxa"/>
          </w:tcPr>
          <w:p w14:paraId="42AA3852">
            <w:pPr>
              <w:spacing w:before="40" w:after="40" w:line="240" w:lineRule="auto"/>
            </w:pPr>
            <w:r>
              <w:rPr>
                <w:rFonts w:ascii="Arial" w:hAnsi="Arial"/>
                <w:b/>
                <w:sz w:val="20"/>
              </w:rPr>
              <w:t>Enerji (GJ/yıl)</w:t>
            </w:r>
          </w:p>
        </w:tc>
        <w:tc>
          <w:tcPr>
            <w:tcW w:w="1361" w:type="dxa"/>
          </w:tcPr>
          <w:p w14:paraId="40FAEE37">
            <w:pPr>
              <w:spacing w:before="40" w:after="40" w:line="240" w:lineRule="auto"/>
            </w:pPr>
            <w:r>
              <w:rPr>
                <w:rFonts w:ascii="Arial" w:hAnsi="Arial"/>
                <w:b/>
                <w:sz w:val="20"/>
              </w:rPr>
              <w:t>Pay (%)</w:t>
            </w:r>
          </w:p>
        </w:tc>
        <w:tc>
          <w:tcPr>
            <w:tcW w:w="1701" w:type="dxa"/>
          </w:tcPr>
          <w:p w14:paraId="5455D437">
            <w:pPr>
              <w:spacing w:before="40" w:after="40" w:line="240" w:lineRule="auto"/>
            </w:pPr>
            <w:r>
              <w:rPr>
                <w:rFonts w:ascii="Arial" w:hAnsi="Arial"/>
                <w:b/>
                <w:sz w:val="20"/>
              </w:rPr>
              <w:t>Kümülatif (%)</w:t>
            </w:r>
          </w:p>
        </w:tc>
        <w:tc>
          <w:tcPr>
            <w:tcW w:w="1304" w:type="dxa"/>
          </w:tcPr>
          <w:p w14:paraId="452C415C">
            <w:pPr>
              <w:spacing w:before="40" w:after="40" w:line="240" w:lineRule="auto"/>
            </w:pPr>
            <w:r>
              <w:rPr>
                <w:rFonts w:ascii="Arial" w:hAnsi="Arial"/>
                <w:b/>
                <w:sz w:val="20"/>
              </w:rPr>
              <w:t>SEU</w:t>
            </w:r>
          </w:p>
        </w:tc>
      </w:tr>
      <w:tr w14:paraId="3C3B1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1BE22D19">
            <w:pPr>
              <w:spacing w:before="40" w:after="40" w:line="240" w:lineRule="auto"/>
            </w:pPr>
            <w:r>
              <w:rPr>
                <w:rFonts w:ascii="Arial" w:hAnsi="Arial"/>
                <w:b w:val="0"/>
                <w:sz w:val="20"/>
              </w:rPr>
              <w:t>Soğutma</w:t>
            </w:r>
          </w:p>
        </w:tc>
        <w:tc>
          <w:tcPr>
            <w:tcW w:w="1928" w:type="dxa"/>
          </w:tcPr>
          <w:p w14:paraId="1D8B2B84">
            <w:pPr>
              <w:spacing w:before="40" w:after="40" w:line="240" w:lineRule="auto"/>
            </w:pPr>
            <w:r>
              <w:rPr>
                <w:rFonts w:ascii="Arial" w:hAnsi="Arial"/>
                <w:b w:val="0"/>
                <w:sz w:val="20"/>
              </w:rPr>
              <w:t>1.119,56</w:t>
            </w:r>
          </w:p>
        </w:tc>
        <w:tc>
          <w:tcPr>
            <w:tcW w:w="1361" w:type="dxa"/>
          </w:tcPr>
          <w:p w14:paraId="4E9ACBF9">
            <w:pPr>
              <w:spacing w:before="40" w:after="40" w:line="240" w:lineRule="auto"/>
            </w:pPr>
            <w:r>
              <w:rPr>
                <w:rFonts w:ascii="Arial" w:hAnsi="Arial"/>
                <w:b w:val="0"/>
                <w:sz w:val="20"/>
              </w:rPr>
              <w:t>58,3</w:t>
            </w:r>
          </w:p>
        </w:tc>
        <w:tc>
          <w:tcPr>
            <w:tcW w:w="1701" w:type="dxa"/>
          </w:tcPr>
          <w:p w14:paraId="2D517BC6">
            <w:pPr>
              <w:spacing w:before="40" w:after="40" w:line="240" w:lineRule="auto"/>
            </w:pPr>
            <w:r>
              <w:rPr>
                <w:rFonts w:ascii="Arial" w:hAnsi="Arial"/>
                <w:b w:val="0"/>
                <w:sz w:val="20"/>
              </w:rPr>
              <w:t>58,3</w:t>
            </w:r>
          </w:p>
        </w:tc>
        <w:tc>
          <w:tcPr>
            <w:tcW w:w="1304" w:type="dxa"/>
          </w:tcPr>
          <w:p w14:paraId="63B31550">
            <w:pPr>
              <w:spacing w:before="40" w:after="40" w:line="240" w:lineRule="auto"/>
            </w:pPr>
            <w:r>
              <w:rPr>
                <w:rFonts w:ascii="Arial" w:hAnsi="Arial"/>
                <w:b w:val="0"/>
                <w:sz w:val="20"/>
              </w:rPr>
              <w:t>Evet</w:t>
            </w:r>
          </w:p>
        </w:tc>
      </w:tr>
      <w:tr w14:paraId="69017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35AC0B7C">
            <w:pPr>
              <w:spacing w:before="40" w:after="40" w:line="240" w:lineRule="auto"/>
            </w:pPr>
            <w:r>
              <w:rPr>
                <w:rFonts w:ascii="Arial" w:hAnsi="Arial"/>
                <w:b w:val="0"/>
                <w:sz w:val="20"/>
              </w:rPr>
              <w:t>İç ekipman</w:t>
            </w:r>
          </w:p>
        </w:tc>
        <w:tc>
          <w:tcPr>
            <w:tcW w:w="1928" w:type="dxa"/>
          </w:tcPr>
          <w:p w14:paraId="50ACE54E">
            <w:pPr>
              <w:spacing w:before="40" w:after="40" w:line="240" w:lineRule="auto"/>
            </w:pPr>
            <w:r>
              <w:rPr>
                <w:rFonts w:ascii="Arial" w:hAnsi="Arial"/>
                <w:b w:val="0"/>
                <w:sz w:val="20"/>
              </w:rPr>
              <w:t>261,13</w:t>
            </w:r>
          </w:p>
        </w:tc>
        <w:tc>
          <w:tcPr>
            <w:tcW w:w="1361" w:type="dxa"/>
          </w:tcPr>
          <w:p w14:paraId="6677AC15">
            <w:pPr>
              <w:spacing w:before="40" w:after="40" w:line="240" w:lineRule="auto"/>
            </w:pPr>
            <w:r>
              <w:rPr>
                <w:rFonts w:ascii="Arial" w:hAnsi="Arial"/>
                <w:b w:val="0"/>
                <w:sz w:val="20"/>
              </w:rPr>
              <w:t>13,6</w:t>
            </w:r>
          </w:p>
        </w:tc>
        <w:tc>
          <w:tcPr>
            <w:tcW w:w="1701" w:type="dxa"/>
          </w:tcPr>
          <w:p w14:paraId="071107BA">
            <w:pPr>
              <w:spacing w:before="40" w:after="40" w:line="240" w:lineRule="auto"/>
            </w:pPr>
            <w:r>
              <w:rPr>
                <w:rFonts w:ascii="Arial" w:hAnsi="Arial"/>
                <w:b w:val="0"/>
                <w:sz w:val="20"/>
              </w:rPr>
              <w:t>71,9</w:t>
            </w:r>
          </w:p>
        </w:tc>
        <w:tc>
          <w:tcPr>
            <w:tcW w:w="1304" w:type="dxa"/>
          </w:tcPr>
          <w:p w14:paraId="6DCA24D9">
            <w:pPr>
              <w:spacing w:before="40" w:after="40" w:line="240" w:lineRule="auto"/>
            </w:pPr>
            <w:r>
              <w:rPr>
                <w:rFonts w:ascii="Arial" w:hAnsi="Arial"/>
                <w:b w:val="0"/>
                <w:sz w:val="20"/>
              </w:rPr>
              <w:t>Evet</w:t>
            </w:r>
          </w:p>
        </w:tc>
      </w:tr>
      <w:tr w14:paraId="0849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3C9C8867">
            <w:pPr>
              <w:spacing w:before="40" w:after="40" w:line="240" w:lineRule="auto"/>
            </w:pPr>
            <w:r>
              <w:rPr>
                <w:rFonts w:ascii="Arial" w:hAnsi="Arial"/>
                <w:b w:val="0"/>
                <w:sz w:val="20"/>
              </w:rPr>
              <w:t>Fanlar</w:t>
            </w:r>
          </w:p>
        </w:tc>
        <w:tc>
          <w:tcPr>
            <w:tcW w:w="1928" w:type="dxa"/>
          </w:tcPr>
          <w:p w14:paraId="4FF6CC75">
            <w:pPr>
              <w:spacing w:before="40" w:after="40" w:line="240" w:lineRule="auto"/>
            </w:pPr>
            <w:r>
              <w:rPr>
                <w:rFonts w:ascii="Arial" w:hAnsi="Arial"/>
                <w:b w:val="0"/>
                <w:sz w:val="20"/>
              </w:rPr>
              <w:t>239,90</w:t>
            </w:r>
          </w:p>
        </w:tc>
        <w:tc>
          <w:tcPr>
            <w:tcW w:w="1361" w:type="dxa"/>
          </w:tcPr>
          <w:p w14:paraId="70991BB4">
            <w:pPr>
              <w:spacing w:before="40" w:after="40" w:line="240" w:lineRule="auto"/>
            </w:pPr>
            <w:r>
              <w:rPr>
                <w:rFonts w:ascii="Arial" w:hAnsi="Arial"/>
                <w:b w:val="0"/>
                <w:sz w:val="20"/>
              </w:rPr>
              <w:t>12,5</w:t>
            </w:r>
          </w:p>
        </w:tc>
        <w:tc>
          <w:tcPr>
            <w:tcW w:w="1701" w:type="dxa"/>
          </w:tcPr>
          <w:p w14:paraId="3E216AAA">
            <w:pPr>
              <w:spacing w:before="40" w:after="40" w:line="240" w:lineRule="auto"/>
            </w:pPr>
            <w:r>
              <w:rPr>
                <w:rFonts w:ascii="Arial" w:hAnsi="Arial"/>
                <w:b w:val="0"/>
                <w:sz w:val="20"/>
              </w:rPr>
              <w:t>84,4</w:t>
            </w:r>
          </w:p>
        </w:tc>
        <w:tc>
          <w:tcPr>
            <w:tcW w:w="1304" w:type="dxa"/>
          </w:tcPr>
          <w:p w14:paraId="7519DE37">
            <w:pPr>
              <w:spacing w:before="40" w:after="40" w:line="240" w:lineRule="auto"/>
            </w:pPr>
            <w:r>
              <w:rPr>
                <w:rFonts w:ascii="Arial" w:hAnsi="Arial"/>
                <w:b w:val="0"/>
                <w:sz w:val="20"/>
              </w:rPr>
              <w:t>Evet</w:t>
            </w:r>
          </w:p>
        </w:tc>
      </w:tr>
      <w:tr w14:paraId="10CA7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024EA6D7">
            <w:pPr>
              <w:spacing w:before="40" w:after="40" w:line="240" w:lineRule="auto"/>
            </w:pPr>
            <w:r>
              <w:rPr>
                <w:rFonts w:ascii="Arial" w:hAnsi="Arial"/>
                <w:b w:val="0"/>
                <w:sz w:val="20"/>
              </w:rPr>
              <w:t>İç aydınlatma</w:t>
            </w:r>
          </w:p>
        </w:tc>
        <w:tc>
          <w:tcPr>
            <w:tcW w:w="1928" w:type="dxa"/>
          </w:tcPr>
          <w:p w14:paraId="27C28855">
            <w:pPr>
              <w:spacing w:before="40" w:after="40" w:line="240" w:lineRule="auto"/>
            </w:pPr>
            <w:r>
              <w:rPr>
                <w:rFonts w:ascii="Arial" w:hAnsi="Arial"/>
                <w:b w:val="0"/>
                <w:sz w:val="20"/>
              </w:rPr>
              <w:t>230,27</w:t>
            </w:r>
          </w:p>
        </w:tc>
        <w:tc>
          <w:tcPr>
            <w:tcW w:w="1361" w:type="dxa"/>
          </w:tcPr>
          <w:p w14:paraId="01574962">
            <w:pPr>
              <w:spacing w:before="40" w:after="40" w:line="240" w:lineRule="auto"/>
            </w:pPr>
            <w:r>
              <w:rPr>
                <w:rFonts w:ascii="Arial" w:hAnsi="Arial"/>
                <w:b w:val="0"/>
                <w:sz w:val="20"/>
              </w:rPr>
              <w:t>12,0</w:t>
            </w:r>
          </w:p>
        </w:tc>
        <w:tc>
          <w:tcPr>
            <w:tcW w:w="1701" w:type="dxa"/>
          </w:tcPr>
          <w:p w14:paraId="05EF0499">
            <w:pPr>
              <w:spacing w:before="40" w:after="40" w:line="240" w:lineRule="auto"/>
            </w:pPr>
            <w:r>
              <w:rPr>
                <w:rFonts w:ascii="Arial" w:hAnsi="Arial"/>
                <w:b w:val="0"/>
                <w:sz w:val="20"/>
              </w:rPr>
              <w:t>96,4</w:t>
            </w:r>
          </w:p>
        </w:tc>
        <w:tc>
          <w:tcPr>
            <w:tcW w:w="1304" w:type="dxa"/>
          </w:tcPr>
          <w:p w14:paraId="5E7EFD0B">
            <w:pPr>
              <w:spacing w:before="40" w:after="40" w:line="240" w:lineRule="auto"/>
            </w:pPr>
            <w:r>
              <w:rPr>
                <w:rFonts w:ascii="Arial" w:hAnsi="Arial"/>
                <w:b w:val="0"/>
                <w:sz w:val="20"/>
              </w:rPr>
              <w:t>Hayır</w:t>
            </w:r>
          </w:p>
        </w:tc>
      </w:tr>
      <w:tr w14:paraId="6E539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24C153AC">
            <w:pPr>
              <w:spacing w:before="40" w:after="40" w:line="240" w:lineRule="auto"/>
            </w:pPr>
            <w:r>
              <w:rPr>
                <w:rFonts w:ascii="Arial" w:hAnsi="Arial"/>
                <w:b w:val="0"/>
                <w:sz w:val="20"/>
              </w:rPr>
              <w:t>Isıtma</w:t>
            </w:r>
          </w:p>
        </w:tc>
        <w:tc>
          <w:tcPr>
            <w:tcW w:w="1928" w:type="dxa"/>
          </w:tcPr>
          <w:p w14:paraId="222FF6E7">
            <w:pPr>
              <w:spacing w:before="40" w:after="40" w:line="240" w:lineRule="auto"/>
            </w:pPr>
            <w:r>
              <w:rPr>
                <w:rFonts w:ascii="Arial" w:hAnsi="Arial"/>
                <w:b w:val="0"/>
                <w:sz w:val="20"/>
              </w:rPr>
              <w:t>46,20</w:t>
            </w:r>
          </w:p>
        </w:tc>
        <w:tc>
          <w:tcPr>
            <w:tcW w:w="1361" w:type="dxa"/>
          </w:tcPr>
          <w:p w14:paraId="1B4752FD">
            <w:pPr>
              <w:spacing w:before="40" w:after="40" w:line="240" w:lineRule="auto"/>
            </w:pPr>
            <w:r>
              <w:rPr>
                <w:rFonts w:ascii="Arial" w:hAnsi="Arial"/>
                <w:b w:val="0"/>
                <w:sz w:val="20"/>
              </w:rPr>
              <w:t>2,4</w:t>
            </w:r>
          </w:p>
        </w:tc>
        <w:tc>
          <w:tcPr>
            <w:tcW w:w="1701" w:type="dxa"/>
          </w:tcPr>
          <w:p w14:paraId="305CCBA3">
            <w:pPr>
              <w:spacing w:before="40" w:after="40" w:line="240" w:lineRule="auto"/>
            </w:pPr>
            <w:r>
              <w:rPr>
                <w:rFonts w:ascii="Arial" w:hAnsi="Arial"/>
                <w:b w:val="0"/>
                <w:sz w:val="20"/>
              </w:rPr>
              <w:t>98,8</w:t>
            </w:r>
          </w:p>
        </w:tc>
        <w:tc>
          <w:tcPr>
            <w:tcW w:w="1304" w:type="dxa"/>
          </w:tcPr>
          <w:p w14:paraId="195AB344">
            <w:pPr>
              <w:spacing w:before="40" w:after="40" w:line="240" w:lineRule="auto"/>
            </w:pPr>
            <w:r>
              <w:rPr>
                <w:rFonts w:ascii="Arial" w:hAnsi="Arial"/>
                <w:b w:val="0"/>
                <w:sz w:val="20"/>
              </w:rPr>
              <w:t>Hayır</w:t>
            </w:r>
          </w:p>
        </w:tc>
      </w:tr>
      <w:tr w14:paraId="1D551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57D2703D">
            <w:pPr>
              <w:spacing w:before="40" w:after="40" w:line="240" w:lineRule="auto"/>
            </w:pPr>
            <w:r>
              <w:rPr>
                <w:rFonts w:ascii="Arial" w:hAnsi="Arial"/>
                <w:b w:val="0"/>
                <w:sz w:val="20"/>
              </w:rPr>
              <w:t>Pompalar</w:t>
            </w:r>
          </w:p>
        </w:tc>
        <w:tc>
          <w:tcPr>
            <w:tcW w:w="1928" w:type="dxa"/>
          </w:tcPr>
          <w:p w14:paraId="2D8B63EC">
            <w:pPr>
              <w:spacing w:before="40" w:after="40" w:line="240" w:lineRule="auto"/>
            </w:pPr>
            <w:r>
              <w:rPr>
                <w:rFonts w:ascii="Arial" w:hAnsi="Arial"/>
                <w:b w:val="0"/>
                <w:sz w:val="20"/>
              </w:rPr>
              <w:t>22,95</w:t>
            </w:r>
          </w:p>
        </w:tc>
        <w:tc>
          <w:tcPr>
            <w:tcW w:w="1361" w:type="dxa"/>
          </w:tcPr>
          <w:p w14:paraId="6515675B">
            <w:pPr>
              <w:spacing w:before="40" w:after="40" w:line="240" w:lineRule="auto"/>
            </w:pPr>
            <w:r>
              <w:rPr>
                <w:rFonts w:ascii="Arial" w:hAnsi="Arial"/>
                <w:b w:val="0"/>
                <w:sz w:val="20"/>
              </w:rPr>
              <w:t>1,2</w:t>
            </w:r>
          </w:p>
        </w:tc>
        <w:tc>
          <w:tcPr>
            <w:tcW w:w="1701" w:type="dxa"/>
          </w:tcPr>
          <w:p w14:paraId="2FCA8A27">
            <w:pPr>
              <w:spacing w:before="40" w:after="40" w:line="240" w:lineRule="auto"/>
            </w:pPr>
            <w:r>
              <w:rPr>
                <w:rFonts w:ascii="Arial" w:hAnsi="Arial"/>
                <w:b w:val="0"/>
                <w:sz w:val="20"/>
              </w:rPr>
              <w:t>100,0</w:t>
            </w:r>
          </w:p>
        </w:tc>
        <w:tc>
          <w:tcPr>
            <w:tcW w:w="1304" w:type="dxa"/>
          </w:tcPr>
          <w:p w14:paraId="33A754C6">
            <w:pPr>
              <w:spacing w:before="40" w:after="40" w:line="240" w:lineRule="auto"/>
            </w:pPr>
            <w:r>
              <w:rPr>
                <w:rFonts w:ascii="Arial" w:hAnsi="Arial"/>
                <w:b w:val="0"/>
                <w:sz w:val="20"/>
              </w:rPr>
              <w:t>Hayır</w:t>
            </w:r>
          </w:p>
        </w:tc>
      </w:tr>
    </w:tbl>
    <w:p w14:paraId="7598F7CB">
      <w:pPr>
        <w:spacing w:before="120" w:after="0"/>
        <w:jc w:val="center"/>
      </w:pPr>
      <w:r>
        <w:drawing>
          <wp:inline distT="0" distB="0" distL="114300" distR="114300">
            <wp:extent cx="5399405" cy="3025140"/>
            <wp:effectExtent l="0" t="0" r="1079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tretch>
                      <a:fillRect/>
                    </a:stretch>
                  </pic:blipFill>
                  <pic:spPr>
                    <a:xfrm>
                      <a:off x="0" y="0"/>
                      <a:ext cx="5400000" cy="3025749"/>
                    </a:xfrm>
                    <a:prstGeom prst="rect">
                      <a:avLst/>
                    </a:prstGeom>
                  </pic:spPr>
                </pic:pic>
              </a:graphicData>
            </a:graphic>
          </wp:inline>
        </w:drawing>
      </w:r>
    </w:p>
    <w:p w14:paraId="6A44471A">
      <w:pPr>
        <w:spacing w:before="120" w:after="120" w:line="240" w:lineRule="auto"/>
        <w:jc w:val="left"/>
      </w:pPr>
      <w:r>
        <w:rPr>
          <w:rFonts w:ascii="Arial" w:hAnsi="Arial"/>
          <w:sz w:val="20"/>
        </w:rPr>
        <w:t>Şekil 4.2. Son kullanımlara göre yıllık enerji tüketimi ve kümülatif pay eğrisi; koyu sütunlar önemli enerji kullanımlarını göstermektedir</w:t>
      </w:r>
      <w:bookmarkStart w:id="41" w:name="_Toc30578"/>
      <w:r>
        <w:rPr>
          <w:vanish/>
        </w:rPr>
        <w:fldChar w:fldCharType="begin"/>
      </w:r>
      <w:r>
        <w:rPr>
          <w:vanish/>
        </w:rPr>
        <w:instrText xml:space="preserve"> TC "Şekil 4.2. Son kullanımlara göre yıllık enerji tüketimi ve kümülatif pay eğrisi; koyu sütunlar önemli enerji kullanımlarını göstermektedir" \f g </w:instrText>
      </w:r>
      <w:r>
        <w:rPr>
          <w:vanish/>
        </w:rPr>
        <w:fldChar w:fldCharType="end"/>
      </w:r>
      <w:bookmarkEnd w:id="41"/>
    </w:p>
    <w:p w14:paraId="54EFA246">
      <w:pPr>
        <w:jc w:val="both"/>
      </w:pPr>
      <w:r>
        <w:rPr>
          <w:rFonts w:ascii="Arial" w:hAnsi="Arial"/>
          <w:sz w:val="22"/>
        </w:rPr>
        <w:t>Bina belirgin biçimde soğutma ağırlıklıdır: soğutma tek başına toplam tüketimin %58,3'ini oluştururken ısıtmanın payı yalnızca %2,4'dir. Isı yalıtımının doğrudan etkilediği kalem ısıtma olduğuna göre, yalıtım iyileştirmesinin üzerinde çalışabileceği taban zaten küçüktür. Bu, başlangıç hipotezine ilişkin ikinci kanıttır.</w:t>
      </w:r>
    </w:p>
    <w:p w14:paraId="1B7CA082">
      <w:pPr>
        <w:spacing w:before="120" w:after="120" w:line="240" w:lineRule="auto"/>
        <w:jc w:val="left"/>
      </w:pPr>
      <w:r>
        <w:rPr>
          <w:rFonts w:ascii="Arial" w:hAnsi="Arial"/>
          <w:sz w:val="20"/>
        </w:rPr>
        <w:t>Tablo 4.4. Taban çizgisi enerji performans göstergeleri</w:t>
      </w:r>
      <w:bookmarkStart w:id="42" w:name="_Toc2925"/>
      <w:r>
        <w:rPr>
          <w:vanish/>
        </w:rPr>
        <w:fldChar w:fldCharType="begin"/>
      </w:r>
      <w:r>
        <w:rPr>
          <w:vanish/>
        </w:rPr>
        <w:instrText xml:space="preserve"> TC "Tablo 4.4. Taban çizgisi enerji performans göstergeleri" \f t </w:instrText>
      </w:r>
      <w:r>
        <w:rPr>
          <w:vanish/>
        </w:rPr>
        <w:fldChar w:fldCharType="end"/>
      </w:r>
      <w:bookmarkEnd w:id="42"/>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95"/>
        <w:gridCol w:w="2268"/>
        <w:gridCol w:w="2324"/>
      </w:tblGrid>
      <w:tr w14:paraId="2BF97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35D20E6B">
            <w:pPr>
              <w:spacing w:before="40" w:after="40" w:line="240" w:lineRule="auto"/>
            </w:pPr>
            <w:r>
              <w:rPr>
                <w:rFonts w:ascii="Arial" w:hAnsi="Arial"/>
                <w:b/>
                <w:sz w:val="20"/>
              </w:rPr>
              <w:t>Gösterge</w:t>
            </w:r>
          </w:p>
        </w:tc>
        <w:tc>
          <w:tcPr>
            <w:tcW w:w="2268" w:type="dxa"/>
          </w:tcPr>
          <w:p w14:paraId="05960376">
            <w:pPr>
              <w:spacing w:before="40" w:after="40" w:line="240" w:lineRule="auto"/>
            </w:pPr>
            <w:r>
              <w:rPr>
                <w:rFonts w:ascii="Arial" w:hAnsi="Arial"/>
                <w:b/>
                <w:sz w:val="20"/>
              </w:rPr>
              <w:t>Değer</w:t>
            </w:r>
          </w:p>
        </w:tc>
        <w:tc>
          <w:tcPr>
            <w:tcW w:w="2324" w:type="dxa"/>
          </w:tcPr>
          <w:p w14:paraId="6A63887B">
            <w:pPr>
              <w:spacing w:before="40" w:after="40" w:line="240" w:lineRule="auto"/>
            </w:pPr>
            <w:r>
              <w:rPr>
                <w:rFonts w:ascii="Arial" w:hAnsi="Arial"/>
                <w:b/>
                <w:sz w:val="20"/>
              </w:rPr>
              <w:t>Birim</w:t>
            </w:r>
          </w:p>
        </w:tc>
      </w:tr>
      <w:tr w14:paraId="12BE5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1E9A3213">
            <w:pPr>
              <w:spacing w:before="40" w:after="40" w:line="240" w:lineRule="auto"/>
            </w:pPr>
            <w:r>
              <w:rPr>
                <w:rFonts w:ascii="Arial" w:hAnsi="Arial"/>
                <w:b w:val="0"/>
                <w:sz w:val="20"/>
              </w:rPr>
              <w:t>Birim alan basina yillik enerji</w:t>
            </w:r>
          </w:p>
        </w:tc>
        <w:tc>
          <w:tcPr>
            <w:tcW w:w="2268" w:type="dxa"/>
          </w:tcPr>
          <w:p w14:paraId="07A07B8E">
            <w:pPr>
              <w:spacing w:before="40" w:after="40" w:line="240" w:lineRule="auto"/>
            </w:pPr>
            <w:r>
              <w:rPr>
                <w:rFonts w:ascii="Arial" w:hAnsi="Arial"/>
                <w:b w:val="0"/>
                <w:sz w:val="20"/>
              </w:rPr>
              <w:t>125,6031</w:t>
            </w:r>
          </w:p>
        </w:tc>
        <w:tc>
          <w:tcPr>
            <w:tcW w:w="2324" w:type="dxa"/>
          </w:tcPr>
          <w:p w14:paraId="0545BF29">
            <w:pPr>
              <w:spacing w:before="40" w:after="40" w:line="240" w:lineRule="auto"/>
            </w:pPr>
            <w:r>
              <w:rPr>
                <w:rFonts w:ascii="Arial" w:hAnsi="Arial"/>
                <w:b w:val="0"/>
                <w:sz w:val="20"/>
              </w:rPr>
              <w:t>kWh/m2-yil</w:t>
            </w:r>
          </w:p>
        </w:tc>
      </w:tr>
      <w:tr w14:paraId="492BF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79195CC6">
            <w:pPr>
              <w:spacing w:before="40" w:after="40" w:line="240" w:lineRule="auto"/>
            </w:pPr>
            <w:r>
              <w:rPr>
                <w:rFonts w:ascii="Arial" w:hAnsi="Arial"/>
                <w:b w:val="0"/>
                <w:sz w:val="20"/>
              </w:rPr>
              <w:t>Kisi basina yillik enerji</w:t>
            </w:r>
          </w:p>
        </w:tc>
        <w:tc>
          <w:tcPr>
            <w:tcW w:w="2268" w:type="dxa"/>
          </w:tcPr>
          <w:p w14:paraId="2D3D2307">
            <w:pPr>
              <w:spacing w:before="40" w:after="40" w:line="240" w:lineRule="auto"/>
            </w:pPr>
            <w:r>
              <w:rPr>
                <w:rFonts w:ascii="Arial" w:hAnsi="Arial"/>
                <w:b w:val="0"/>
                <w:sz w:val="20"/>
              </w:rPr>
              <w:t>2.643,6668</w:t>
            </w:r>
          </w:p>
        </w:tc>
        <w:tc>
          <w:tcPr>
            <w:tcW w:w="2324" w:type="dxa"/>
          </w:tcPr>
          <w:p w14:paraId="2E89C89D">
            <w:pPr>
              <w:spacing w:before="40" w:after="40" w:line="240" w:lineRule="auto"/>
            </w:pPr>
            <w:r>
              <w:rPr>
                <w:rFonts w:ascii="Arial" w:hAnsi="Arial"/>
                <w:b w:val="0"/>
                <w:sz w:val="20"/>
              </w:rPr>
              <w:t>kWh/kisi-yil</w:t>
            </w:r>
          </w:p>
        </w:tc>
      </w:tr>
      <w:tr w14:paraId="51C3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95" w:type="dxa"/>
          </w:tcPr>
          <w:p w14:paraId="6F178F34">
            <w:pPr>
              <w:spacing w:before="40" w:after="40" w:line="240" w:lineRule="auto"/>
            </w:pPr>
            <w:r>
              <w:rPr>
                <w:rFonts w:ascii="Arial" w:hAnsi="Arial"/>
                <w:b w:val="0"/>
                <w:sz w:val="20"/>
              </w:rPr>
              <w:t>Derece-gun normalize gosterge</w:t>
            </w:r>
          </w:p>
        </w:tc>
        <w:tc>
          <w:tcPr>
            <w:tcW w:w="2268" w:type="dxa"/>
          </w:tcPr>
          <w:p w14:paraId="2B4D3FCD">
            <w:pPr>
              <w:spacing w:before="40" w:after="40" w:line="240" w:lineRule="auto"/>
            </w:pPr>
            <w:r>
              <w:rPr>
                <w:rFonts w:ascii="Arial" w:hAnsi="Arial"/>
                <w:b w:val="0"/>
                <w:sz w:val="20"/>
              </w:rPr>
              <w:t>0,0537</w:t>
            </w:r>
          </w:p>
        </w:tc>
        <w:tc>
          <w:tcPr>
            <w:tcW w:w="2324" w:type="dxa"/>
          </w:tcPr>
          <w:p w14:paraId="24E463F2">
            <w:pPr>
              <w:spacing w:before="40" w:after="40" w:line="240" w:lineRule="auto"/>
            </w:pPr>
            <w:r>
              <w:rPr>
                <w:rFonts w:ascii="Arial" w:hAnsi="Arial"/>
                <w:b w:val="0"/>
                <w:sz w:val="20"/>
              </w:rPr>
              <w:t>kWh/m2-DG</w:t>
            </w:r>
          </w:p>
        </w:tc>
      </w:tr>
    </w:tbl>
    <w:p w14:paraId="531C66A9">
      <w:pPr>
        <w:jc w:val="both"/>
      </w:pPr>
      <w:r>
        <w:rPr>
          <w:rFonts w:ascii="Arial" w:hAnsi="Arial"/>
          <w:sz w:val="22"/>
        </w:rPr>
        <w:t>İklim normalizasyonunda kullanılan derece-gün değerleri, 18 °C tabanlı ısıtma için 1.782,5, 22 °C tabanlı soğutma için 557,5'dir. Taban çizgisinin simülasyon kaynaklı olduğu ve ölçülmüş tüketim verisine kalibre edilmediği vurgulanmalıdır; göstergeler bu nedenle mutlak bir performans beyanı değil, senaryolar arası karşılaştırma ölçeği olarak kullanılmalıdır.</w:t>
      </w:r>
    </w:p>
    <w:p w14:paraId="5FF704C8">
      <w:pPr>
        <w:pStyle w:val="3"/>
        <w:jc w:val="left"/>
      </w:pPr>
      <w:bookmarkStart w:id="43" w:name="_Toc23582"/>
      <w:r>
        <w:rPr>
          <w:rFonts w:ascii="Arial" w:hAnsi="Arial"/>
          <w:b/>
          <w:sz w:val="22"/>
        </w:rPr>
        <w:t>4.4 Vekil Model Doğruluğu</w:t>
      </w:r>
      <w:bookmarkEnd w:id="43"/>
    </w:p>
    <w:p w14:paraId="1F95420E">
      <w:pPr>
        <w:jc w:val="both"/>
      </w:pPr>
      <w:r>
        <w:rPr>
          <w:rFonts w:ascii="Arial" w:hAnsi="Arial"/>
          <w:sz w:val="22"/>
        </w:rPr>
        <w:t>Vekil model, 140 satırlık eğitim kümesi üzerinde eğitilmiş ve 35 satırlık bağımsız test kümesinde sınanmıştır. Sonuçlar Tablo 4.5'te verilmiştir. Optimizasyonun amaç fonksiyonlarını besleyen iki hedef olan toplam saha enerjisi ve konfor ihlali, kabul ölçütlerini karşılamaktadır.</w:t>
      </w:r>
    </w:p>
    <w:p w14:paraId="327E4224">
      <w:pPr>
        <w:spacing w:before="120" w:after="120" w:line="240" w:lineRule="auto"/>
        <w:jc w:val="left"/>
      </w:pPr>
      <w:r>
        <w:rPr>
          <w:rFonts w:ascii="Arial" w:hAnsi="Arial"/>
          <w:sz w:val="20"/>
        </w:rPr>
        <w:t>Tablo 4.5. Bağımsız test kümesinde vekil model başarımı</w:t>
      </w:r>
      <w:bookmarkStart w:id="44" w:name="_Toc28621"/>
      <w:r>
        <w:rPr>
          <w:vanish/>
        </w:rPr>
        <w:fldChar w:fldCharType="begin"/>
      </w:r>
      <w:r>
        <w:rPr>
          <w:vanish/>
        </w:rPr>
        <w:instrText xml:space="preserve"> TC "Tablo 4.5. Bağımsız test kümesinde vekil model başarımı" \f t </w:instrText>
      </w:r>
      <w:r>
        <w:rPr>
          <w:vanish/>
        </w:rPr>
        <w:fldChar w:fldCharType="end"/>
      </w:r>
      <w:bookmarkEnd w:id="44"/>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1247"/>
        <w:gridCol w:w="1020"/>
        <w:gridCol w:w="1814"/>
        <w:gridCol w:w="1134"/>
        <w:gridCol w:w="1077"/>
      </w:tblGrid>
      <w:tr w14:paraId="5693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18F19089">
            <w:pPr>
              <w:spacing w:before="40" w:after="40" w:line="240" w:lineRule="auto"/>
            </w:pPr>
            <w:r>
              <w:rPr>
                <w:rFonts w:ascii="Arial" w:hAnsi="Arial"/>
                <w:b/>
                <w:sz w:val="20"/>
              </w:rPr>
              <w:t>Hedef</w:t>
            </w:r>
          </w:p>
        </w:tc>
        <w:tc>
          <w:tcPr>
            <w:tcW w:w="1247" w:type="dxa"/>
          </w:tcPr>
          <w:p w14:paraId="163E2D25">
            <w:pPr>
              <w:spacing w:before="40" w:after="40" w:line="240" w:lineRule="auto"/>
            </w:pPr>
            <w:r>
              <w:rPr>
                <w:rFonts w:ascii="Arial" w:hAnsi="Arial"/>
                <w:b/>
                <w:sz w:val="20"/>
              </w:rPr>
              <w:t>Model</w:t>
            </w:r>
          </w:p>
        </w:tc>
        <w:tc>
          <w:tcPr>
            <w:tcW w:w="1020" w:type="dxa"/>
          </w:tcPr>
          <w:p w14:paraId="15ADC5FC">
            <w:pPr>
              <w:spacing w:before="40" w:after="40" w:line="240" w:lineRule="auto"/>
            </w:pPr>
            <w:r>
              <w:rPr>
                <w:rFonts w:ascii="Arial" w:hAnsi="Arial"/>
                <w:b/>
                <w:sz w:val="20"/>
              </w:rPr>
              <w:t>R²</w:t>
            </w:r>
          </w:p>
        </w:tc>
        <w:tc>
          <w:tcPr>
            <w:tcW w:w="1814" w:type="dxa"/>
          </w:tcPr>
          <w:p w14:paraId="07E57898">
            <w:pPr>
              <w:spacing w:before="40" w:after="40" w:line="240" w:lineRule="auto"/>
            </w:pPr>
            <w:r>
              <w:rPr>
                <w:rFonts w:ascii="Arial" w:hAnsi="Arial"/>
                <w:b/>
                <w:sz w:val="20"/>
              </w:rPr>
              <w:t>Ölçüt</w:t>
            </w:r>
          </w:p>
        </w:tc>
        <w:tc>
          <w:tcPr>
            <w:tcW w:w="1134" w:type="dxa"/>
          </w:tcPr>
          <w:p w14:paraId="5E2CC092">
            <w:pPr>
              <w:spacing w:before="40" w:after="40" w:line="240" w:lineRule="auto"/>
            </w:pPr>
            <w:r>
              <w:rPr>
                <w:rFonts w:ascii="Arial" w:hAnsi="Arial"/>
                <w:b/>
                <w:sz w:val="20"/>
              </w:rPr>
              <w:t>Değer</w:t>
            </w:r>
          </w:p>
        </w:tc>
        <w:tc>
          <w:tcPr>
            <w:tcW w:w="1077" w:type="dxa"/>
          </w:tcPr>
          <w:p w14:paraId="63CF61B4">
            <w:pPr>
              <w:spacing w:before="40" w:after="40" w:line="240" w:lineRule="auto"/>
            </w:pPr>
            <w:r>
              <w:rPr>
                <w:rFonts w:ascii="Arial" w:hAnsi="Arial"/>
                <w:b/>
                <w:sz w:val="20"/>
              </w:rPr>
              <w:t>Kapı</w:t>
            </w:r>
          </w:p>
        </w:tc>
      </w:tr>
      <w:tr w14:paraId="16A32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208A1DD7">
            <w:pPr>
              <w:spacing w:before="40" w:after="40" w:line="240" w:lineRule="auto"/>
            </w:pPr>
            <w:r>
              <w:rPr>
                <w:rFonts w:ascii="Arial" w:hAnsi="Arial"/>
                <w:b w:val="0"/>
                <w:sz w:val="20"/>
              </w:rPr>
              <w:t>site_energy_gj</w:t>
            </w:r>
          </w:p>
        </w:tc>
        <w:tc>
          <w:tcPr>
            <w:tcW w:w="1247" w:type="dxa"/>
          </w:tcPr>
          <w:p w14:paraId="0CC08E76">
            <w:pPr>
              <w:spacing w:before="40" w:after="40" w:line="240" w:lineRule="auto"/>
            </w:pPr>
            <w:r>
              <w:rPr>
                <w:rFonts w:ascii="Arial" w:hAnsi="Arial"/>
                <w:b w:val="0"/>
                <w:sz w:val="20"/>
              </w:rPr>
              <w:t>kriging</w:t>
            </w:r>
          </w:p>
        </w:tc>
        <w:tc>
          <w:tcPr>
            <w:tcW w:w="1020" w:type="dxa"/>
          </w:tcPr>
          <w:p w14:paraId="392E5F47">
            <w:pPr>
              <w:spacing w:before="40" w:after="40" w:line="240" w:lineRule="auto"/>
            </w:pPr>
            <w:r>
              <w:rPr>
                <w:rFonts w:ascii="Arial" w:hAnsi="Arial"/>
                <w:b w:val="0"/>
                <w:sz w:val="20"/>
              </w:rPr>
              <w:t>0,994</w:t>
            </w:r>
          </w:p>
        </w:tc>
        <w:tc>
          <w:tcPr>
            <w:tcW w:w="1814" w:type="dxa"/>
          </w:tcPr>
          <w:p w14:paraId="010AE196">
            <w:pPr>
              <w:spacing w:before="40" w:after="40" w:line="240" w:lineRule="auto"/>
            </w:pPr>
            <w:r>
              <w:rPr>
                <w:rFonts w:ascii="Arial" w:hAnsi="Arial"/>
                <w:b w:val="0"/>
                <w:sz w:val="20"/>
              </w:rPr>
              <w:t>CVRMSE</w:t>
            </w:r>
          </w:p>
        </w:tc>
        <w:tc>
          <w:tcPr>
            <w:tcW w:w="1134" w:type="dxa"/>
          </w:tcPr>
          <w:p w14:paraId="47F3555E">
            <w:pPr>
              <w:spacing w:before="40" w:after="40" w:line="240" w:lineRule="auto"/>
            </w:pPr>
            <w:r>
              <w:rPr>
                <w:rFonts w:ascii="Arial" w:hAnsi="Arial"/>
                <w:b w:val="0"/>
                <w:sz w:val="20"/>
              </w:rPr>
              <w:t>%2,75</w:t>
            </w:r>
          </w:p>
        </w:tc>
        <w:tc>
          <w:tcPr>
            <w:tcW w:w="1077" w:type="dxa"/>
          </w:tcPr>
          <w:p w14:paraId="5F85E72A">
            <w:pPr>
              <w:spacing w:before="40" w:after="40" w:line="240" w:lineRule="auto"/>
            </w:pPr>
            <w:r>
              <w:rPr>
                <w:rFonts w:ascii="Arial" w:hAnsi="Arial"/>
                <w:b w:val="0"/>
                <w:sz w:val="20"/>
              </w:rPr>
              <w:t>Geçti</w:t>
            </w:r>
          </w:p>
        </w:tc>
      </w:tr>
      <w:tr w14:paraId="04A91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52630377">
            <w:pPr>
              <w:spacing w:before="40" w:after="40" w:line="240" w:lineRule="auto"/>
            </w:pPr>
            <w:r>
              <w:rPr>
                <w:rFonts w:ascii="Arial" w:hAnsi="Arial"/>
                <w:b w:val="0"/>
                <w:sz w:val="20"/>
              </w:rPr>
              <w:t>cooling_gj</w:t>
            </w:r>
          </w:p>
        </w:tc>
        <w:tc>
          <w:tcPr>
            <w:tcW w:w="1247" w:type="dxa"/>
          </w:tcPr>
          <w:p w14:paraId="0313C4EE">
            <w:pPr>
              <w:spacing w:before="40" w:after="40" w:line="240" w:lineRule="auto"/>
            </w:pPr>
            <w:r>
              <w:rPr>
                <w:rFonts w:ascii="Arial" w:hAnsi="Arial"/>
                <w:b w:val="0"/>
                <w:sz w:val="20"/>
              </w:rPr>
              <w:t>kriging</w:t>
            </w:r>
          </w:p>
        </w:tc>
        <w:tc>
          <w:tcPr>
            <w:tcW w:w="1020" w:type="dxa"/>
          </w:tcPr>
          <w:p w14:paraId="565D81B4">
            <w:pPr>
              <w:spacing w:before="40" w:after="40" w:line="240" w:lineRule="auto"/>
            </w:pPr>
            <w:r>
              <w:rPr>
                <w:rFonts w:ascii="Arial" w:hAnsi="Arial"/>
                <w:b w:val="0"/>
                <w:sz w:val="20"/>
              </w:rPr>
              <w:t>0,994</w:t>
            </w:r>
          </w:p>
        </w:tc>
        <w:tc>
          <w:tcPr>
            <w:tcW w:w="1814" w:type="dxa"/>
          </w:tcPr>
          <w:p w14:paraId="7F718AEF">
            <w:pPr>
              <w:spacing w:before="40" w:after="40" w:line="240" w:lineRule="auto"/>
            </w:pPr>
            <w:r>
              <w:rPr>
                <w:rFonts w:ascii="Arial" w:hAnsi="Arial"/>
                <w:b w:val="0"/>
                <w:sz w:val="20"/>
              </w:rPr>
              <w:t>CVRMSE</w:t>
            </w:r>
          </w:p>
        </w:tc>
        <w:tc>
          <w:tcPr>
            <w:tcW w:w="1134" w:type="dxa"/>
          </w:tcPr>
          <w:p w14:paraId="2A4E474C">
            <w:pPr>
              <w:spacing w:before="40" w:after="40" w:line="240" w:lineRule="auto"/>
            </w:pPr>
            <w:r>
              <w:rPr>
                <w:rFonts w:ascii="Arial" w:hAnsi="Arial"/>
                <w:b w:val="0"/>
                <w:sz w:val="20"/>
              </w:rPr>
              <w:t>%4,31</w:t>
            </w:r>
          </w:p>
        </w:tc>
        <w:tc>
          <w:tcPr>
            <w:tcW w:w="1077" w:type="dxa"/>
          </w:tcPr>
          <w:p w14:paraId="7A8E7003">
            <w:pPr>
              <w:spacing w:before="40" w:after="40" w:line="240" w:lineRule="auto"/>
            </w:pPr>
            <w:r>
              <w:rPr>
                <w:rFonts w:ascii="Arial" w:hAnsi="Arial"/>
                <w:b w:val="0"/>
                <w:sz w:val="20"/>
              </w:rPr>
              <w:t>Geçti</w:t>
            </w:r>
          </w:p>
        </w:tc>
      </w:tr>
      <w:tr w14:paraId="6A762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3617F93">
            <w:pPr>
              <w:spacing w:before="40" w:after="40" w:line="240" w:lineRule="auto"/>
            </w:pPr>
            <w:r>
              <w:rPr>
                <w:rFonts w:ascii="Arial" w:hAnsi="Arial"/>
                <w:b w:val="0"/>
                <w:sz w:val="20"/>
              </w:rPr>
              <w:t>heating_gj</w:t>
            </w:r>
          </w:p>
        </w:tc>
        <w:tc>
          <w:tcPr>
            <w:tcW w:w="1247" w:type="dxa"/>
          </w:tcPr>
          <w:p w14:paraId="62051A4D">
            <w:pPr>
              <w:spacing w:before="40" w:after="40" w:line="240" w:lineRule="auto"/>
            </w:pPr>
            <w:r>
              <w:rPr>
                <w:rFonts w:ascii="Arial" w:hAnsi="Arial"/>
                <w:b w:val="0"/>
                <w:sz w:val="20"/>
              </w:rPr>
              <w:t>kriging</w:t>
            </w:r>
          </w:p>
        </w:tc>
        <w:tc>
          <w:tcPr>
            <w:tcW w:w="1020" w:type="dxa"/>
          </w:tcPr>
          <w:p w14:paraId="21A03E92">
            <w:pPr>
              <w:spacing w:before="40" w:after="40" w:line="240" w:lineRule="auto"/>
            </w:pPr>
            <w:r>
              <w:rPr>
                <w:rFonts w:ascii="Arial" w:hAnsi="Arial"/>
                <w:b w:val="0"/>
                <w:sz w:val="20"/>
              </w:rPr>
              <w:t>0,645</w:t>
            </w:r>
          </w:p>
        </w:tc>
        <w:tc>
          <w:tcPr>
            <w:tcW w:w="1814" w:type="dxa"/>
          </w:tcPr>
          <w:p w14:paraId="67B8C4B6">
            <w:pPr>
              <w:spacing w:before="40" w:after="40" w:line="240" w:lineRule="auto"/>
            </w:pPr>
            <w:r>
              <w:rPr>
                <w:rFonts w:ascii="Arial" w:hAnsi="Arial"/>
                <w:b w:val="0"/>
                <w:sz w:val="20"/>
              </w:rPr>
              <w:t>NRMSE (aralık)+R2</w:t>
            </w:r>
          </w:p>
        </w:tc>
        <w:tc>
          <w:tcPr>
            <w:tcW w:w="1134" w:type="dxa"/>
          </w:tcPr>
          <w:p w14:paraId="02E03A10">
            <w:pPr>
              <w:spacing w:before="40" w:after="40" w:line="240" w:lineRule="auto"/>
            </w:pPr>
            <w:r>
              <w:rPr>
                <w:rFonts w:ascii="Arial" w:hAnsi="Arial"/>
                <w:b w:val="0"/>
                <w:sz w:val="20"/>
              </w:rPr>
              <w:t>%11,11</w:t>
            </w:r>
          </w:p>
        </w:tc>
        <w:tc>
          <w:tcPr>
            <w:tcW w:w="1077" w:type="dxa"/>
          </w:tcPr>
          <w:p w14:paraId="58EF6841">
            <w:pPr>
              <w:spacing w:before="40" w:after="40" w:line="240" w:lineRule="auto"/>
            </w:pPr>
            <w:r>
              <w:rPr>
                <w:rFonts w:ascii="Arial" w:hAnsi="Arial"/>
                <w:b w:val="0"/>
                <w:sz w:val="20"/>
              </w:rPr>
              <w:t>Kaldı</w:t>
            </w:r>
          </w:p>
        </w:tc>
      </w:tr>
      <w:tr w14:paraId="49D32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11FDE428">
            <w:pPr>
              <w:spacing w:before="40" w:after="40" w:line="240" w:lineRule="auto"/>
            </w:pPr>
            <w:r>
              <w:rPr>
                <w:rFonts w:ascii="Arial" w:hAnsi="Arial"/>
                <w:b w:val="0"/>
                <w:sz w:val="20"/>
              </w:rPr>
              <w:t>comfort_violation_hours</w:t>
            </w:r>
          </w:p>
        </w:tc>
        <w:tc>
          <w:tcPr>
            <w:tcW w:w="1247" w:type="dxa"/>
          </w:tcPr>
          <w:p w14:paraId="5113682C">
            <w:pPr>
              <w:spacing w:before="40" w:after="40" w:line="240" w:lineRule="auto"/>
            </w:pPr>
            <w:r>
              <w:rPr>
                <w:rFonts w:ascii="Arial" w:hAnsi="Arial"/>
                <w:b w:val="0"/>
                <w:sz w:val="20"/>
              </w:rPr>
              <w:t>boosting</w:t>
            </w:r>
          </w:p>
        </w:tc>
        <w:tc>
          <w:tcPr>
            <w:tcW w:w="1020" w:type="dxa"/>
          </w:tcPr>
          <w:p w14:paraId="5EAE623E">
            <w:pPr>
              <w:spacing w:before="40" w:after="40" w:line="240" w:lineRule="auto"/>
            </w:pPr>
            <w:r>
              <w:rPr>
                <w:rFonts w:ascii="Arial" w:hAnsi="Arial"/>
                <w:b w:val="0"/>
                <w:sz w:val="20"/>
              </w:rPr>
              <w:t>0,984</w:t>
            </w:r>
          </w:p>
        </w:tc>
        <w:tc>
          <w:tcPr>
            <w:tcW w:w="1814" w:type="dxa"/>
          </w:tcPr>
          <w:p w14:paraId="2756A4E7">
            <w:pPr>
              <w:spacing w:before="40" w:after="40" w:line="240" w:lineRule="auto"/>
            </w:pPr>
            <w:r>
              <w:rPr>
                <w:rFonts w:ascii="Arial" w:hAnsi="Arial"/>
                <w:b w:val="0"/>
                <w:sz w:val="20"/>
              </w:rPr>
              <w:t>NRMSE (aralık)+R2</w:t>
            </w:r>
          </w:p>
        </w:tc>
        <w:tc>
          <w:tcPr>
            <w:tcW w:w="1134" w:type="dxa"/>
          </w:tcPr>
          <w:p w14:paraId="6221FC80">
            <w:pPr>
              <w:spacing w:before="40" w:after="40" w:line="240" w:lineRule="auto"/>
            </w:pPr>
            <w:r>
              <w:rPr>
                <w:rFonts w:ascii="Arial" w:hAnsi="Arial"/>
                <w:b w:val="0"/>
                <w:sz w:val="20"/>
              </w:rPr>
              <w:t>%5,39</w:t>
            </w:r>
          </w:p>
        </w:tc>
        <w:tc>
          <w:tcPr>
            <w:tcW w:w="1077" w:type="dxa"/>
          </w:tcPr>
          <w:p w14:paraId="59EBAD9D">
            <w:pPr>
              <w:spacing w:before="40" w:after="40" w:line="240" w:lineRule="auto"/>
            </w:pPr>
            <w:r>
              <w:rPr>
                <w:rFonts w:ascii="Arial" w:hAnsi="Arial"/>
                <w:b w:val="0"/>
                <w:sz w:val="20"/>
              </w:rPr>
              <w:t>Geçti</w:t>
            </w:r>
          </w:p>
        </w:tc>
      </w:tr>
    </w:tbl>
    <w:p w14:paraId="5C595A01">
      <w:pPr>
        <w:jc w:val="both"/>
      </w:pPr>
      <w:r>
        <w:rPr>
          <w:rFonts w:ascii="Arial" w:hAnsi="Arial"/>
          <w:sz w:val="22"/>
        </w:rPr>
        <w:t>Toplam saha enerjisi hedefinde %2,75 CVRMSE ve 0,994 belirlilik katsayısı elde edilmiştir; normalize ortalama yanlılık hatası %0,385 ile ihmal edilebilir düzeydedir. Isıtma enerjisi hedefi kabul ölçütünü karşılamamaktadır ve bu durum açıkça raporlanmaktadır. Nedeni, eğitim kümesindeki koşuların yaklaşık yarısında ısıtma enerjisinin sıfıra yakın olmasıdır; bu hedef amaç fonksiyonlarında kullanılmadığından kabul kapısının dışında tutulmuştur.</w:t>
      </w:r>
    </w:p>
    <w:p w14:paraId="53B710BD">
      <w:pPr>
        <w:jc w:val="both"/>
      </w:pPr>
      <w:r>
        <w:rPr>
          <w:rFonts w:ascii="Arial" w:hAnsi="Arial"/>
          <w:sz w:val="22"/>
        </w:rPr>
        <w:t>Hesaplama maliyeti açısından bir EnergyPlus koşusu ortalama 132 saniye sürerken, vekil model çağrısı mikrosaniye mertebesindedir. Elde edilen hızlanma oranı yaklaşık 21,9 milyon kattır. Bu oran, on binlerce aday çözümün değerlendirilmesini gerektiren duyarlılık analizi ve çok amaçlı optimizasyon adımlarını uygulanabilir kılan temel etkendir.</w:t>
      </w:r>
    </w:p>
    <w:p w14:paraId="2859EF8B">
      <w:pPr>
        <w:pStyle w:val="3"/>
        <w:jc w:val="left"/>
      </w:pPr>
      <w:bookmarkStart w:id="45" w:name="_Toc24973"/>
      <w:r>
        <w:rPr>
          <w:rFonts w:ascii="Arial" w:hAnsi="Arial"/>
          <w:b/>
          <w:sz w:val="22"/>
        </w:rPr>
        <w:t>4.5 Pareto Cephesi</w:t>
      </w:r>
      <w:bookmarkEnd w:id="45"/>
    </w:p>
    <w:p w14:paraId="0FC0FE00">
      <w:pPr>
        <w:jc w:val="both"/>
      </w:pPr>
      <w:r>
        <w:rPr>
          <w:rFonts w:ascii="Arial" w:hAnsi="Arial"/>
          <w:sz w:val="22"/>
        </w:rPr>
        <w:t>NSGA-II çalıştırması 120 nesil boyunca yürütülmüş ve 80 çözümlü bir Pareto cephesi üretmiştir. Hipervolüm göstergesi 0,5605 başlangıç değerinden 0,7544 değerine yükselmiş ve yaklaşık ellinci nesilden sonra kararlı seyretmiştir. Cephe ile yakınsama eğrisi Şekil 4.3'te birlikte sunulmuştur.</w:t>
      </w:r>
    </w:p>
    <w:p w14:paraId="1418E70C">
      <w:pPr>
        <w:spacing w:before="120" w:after="0"/>
        <w:jc w:val="center"/>
      </w:pPr>
      <w:r>
        <w:drawing>
          <wp:inline distT="0" distB="0" distL="114300" distR="114300">
            <wp:extent cx="5579745" cy="2800985"/>
            <wp:effectExtent l="0" t="0" r="1333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580000" cy="2801615"/>
                    </a:xfrm>
                    <a:prstGeom prst="rect">
                      <a:avLst/>
                    </a:prstGeom>
                  </pic:spPr>
                </pic:pic>
              </a:graphicData>
            </a:graphic>
          </wp:inline>
        </w:drawing>
      </w:r>
    </w:p>
    <w:p w14:paraId="3DBB9219">
      <w:pPr>
        <w:spacing w:before="120" w:after="120" w:line="240" w:lineRule="auto"/>
        <w:jc w:val="left"/>
      </w:pPr>
      <w:r>
        <w:rPr>
          <w:rFonts w:ascii="Arial" w:hAnsi="Arial"/>
          <w:sz w:val="20"/>
        </w:rPr>
        <w:t>Şekil 4.3. Solda enerji performans göstergesi ile yatırım maliyeti düzleminde Pareto cephesi (renk ölçeği konfor ihlalini göstermektedir), sağda hipervolüm yakınsaması</w:t>
      </w:r>
      <w:bookmarkStart w:id="46" w:name="_Toc937"/>
      <w:r>
        <w:rPr>
          <w:vanish/>
        </w:rPr>
        <w:fldChar w:fldCharType="begin"/>
      </w:r>
      <w:r>
        <w:rPr>
          <w:vanish/>
        </w:rPr>
        <w:instrText xml:space="preserve"> TC "Şekil 4.3. Solda enerji performans göstergesi ile yatırım maliyeti düzleminde Pareto cephesi (renk ölçeği konfor ihlalini göstermektedir), sağda hipervolüm yakınsaması" \f g </w:instrText>
      </w:r>
      <w:r>
        <w:rPr>
          <w:vanish/>
        </w:rPr>
        <w:fldChar w:fldCharType="end"/>
      </w:r>
      <w:bookmarkEnd w:id="46"/>
    </w:p>
    <w:p w14:paraId="07B7CC39">
      <w:pPr>
        <w:jc w:val="both"/>
      </w:pPr>
      <w:r>
        <w:rPr>
          <w:rFonts w:ascii="Arial" w:hAnsi="Arial"/>
          <w:sz w:val="22"/>
        </w:rPr>
        <w:t>Cephenin biçimi, enerji ile maliyet arasındaki ödünleşimin doğrusal olmadığını göstermektedir. Yüksek enerji tüketimli bölgede görece küçük yatırımlarla belirgin kazanım elde edilirken, düşük enerji bölgesinde aynı kazanım için gereken yatırım hızla artmaktadır.</w:t>
      </w:r>
    </w:p>
    <w:p w14:paraId="296D1061">
      <w:pPr>
        <w:jc w:val="both"/>
      </w:pPr>
      <w:r>
        <w:rPr>
          <w:rFonts w:ascii="Arial" w:hAnsi="Arial"/>
          <w:sz w:val="22"/>
        </w:rPr>
        <w:t>UYARI — DOĞRULAMA BEKLİYOR. Bu cephe, TS 825 cam ısı geçirgenlik sınırındaki bir hatanın düzeltilmesinin ardından yeniden üretilmiştir (ayrıntı: Bölüm 5.4). Bölüm 4.6'da sunulan doğrulama sonuçları, düzeltmeden önceki cepheden seçilen noktalara aittir ve bu cepheyle ortak noktası yoktur. Buradaki çözümler bağımsız EnergyPlus koşularıyla henüz sınanmamıştır; Faz 7 kapısı bu cephe için yeniden işletilmelidir.</w:t>
      </w:r>
    </w:p>
    <w:p w14:paraId="1582A5CD">
      <w:pPr>
        <w:pStyle w:val="3"/>
        <w:jc w:val="left"/>
      </w:pPr>
      <w:bookmarkStart w:id="47" w:name="_Toc27784"/>
      <w:r>
        <w:rPr>
          <w:rFonts w:ascii="Arial" w:hAnsi="Arial"/>
          <w:b/>
          <w:sz w:val="22"/>
        </w:rPr>
        <w:t>4.6 Sayısal Doğrulama</w:t>
      </w:r>
      <w:bookmarkEnd w:id="47"/>
    </w:p>
    <w:p w14:paraId="3E5BCE72">
      <w:pPr>
        <w:jc w:val="both"/>
      </w:pPr>
      <w:r>
        <w:rPr>
          <w:rFonts w:ascii="Arial" w:hAnsi="Arial"/>
          <w:sz w:val="22"/>
        </w:rPr>
        <w:t>Bu bölümdeki sonuçlar, Bölüm 4.5'te sunulan güncel cepheye değil, TS 825 düzeltmesinden önceki cepheye aittir. Bölüm, doğrulama yönteminin kurulumunu ve ölçülen davranışını belgelemek üzere korunmuştur; sayıları güncel cephenin doğruluk beyanı olarak okunmamalıdır.</w:t>
      </w:r>
    </w:p>
    <w:p w14:paraId="77C7098B">
      <w:pPr>
        <w:jc w:val="both"/>
      </w:pPr>
      <w:r>
        <w:rPr>
          <w:rFonts w:ascii="Arial" w:hAnsi="Arial"/>
          <w:sz w:val="22"/>
        </w:rPr>
        <w:t>Doğrulama süreci dört tur olarak yürütülmüştür. İlk iki turda kabul ölçütü sağlanamamış, üstelik adaptif örnekleme tek başına uygulandığında sapma büyümüştür. Turların özeti Tablo 4.6'da verilmiştir.</w:t>
      </w:r>
    </w:p>
    <w:p w14:paraId="61C5A490">
      <w:pPr>
        <w:spacing w:before="120" w:after="120" w:line="240" w:lineRule="auto"/>
        <w:jc w:val="left"/>
      </w:pPr>
      <w:r>
        <w:rPr>
          <w:rFonts w:ascii="Arial" w:hAnsi="Arial"/>
          <w:sz w:val="20"/>
        </w:rPr>
        <w:t>Tablo 4.6. Doğrulama turlarının özeti</w:t>
      </w:r>
      <w:bookmarkStart w:id="48" w:name="_Toc2133"/>
      <w:r>
        <w:rPr>
          <w:vanish/>
        </w:rPr>
        <w:fldChar w:fldCharType="begin"/>
      </w:r>
      <w:r>
        <w:rPr>
          <w:vanish/>
        </w:rPr>
        <w:instrText xml:space="preserve"> TC "Tablo 4.6. Doğrulama turlarının özeti" \f t </w:instrText>
      </w:r>
      <w:r>
        <w:rPr>
          <w:vanish/>
        </w:rPr>
        <w:fldChar w:fldCharType="end"/>
      </w:r>
      <w:bookmarkEnd w:id="48"/>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4"/>
        <w:gridCol w:w="1928"/>
        <w:gridCol w:w="1474"/>
        <w:gridCol w:w="1587"/>
        <w:gridCol w:w="1587"/>
        <w:gridCol w:w="1417"/>
      </w:tblGrid>
      <w:tr w14:paraId="381F1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64EFD7D8">
            <w:pPr>
              <w:spacing w:before="40" w:after="40" w:line="240" w:lineRule="auto"/>
            </w:pPr>
            <w:r>
              <w:rPr>
                <w:rFonts w:ascii="Arial" w:hAnsi="Arial"/>
                <w:b/>
                <w:sz w:val="20"/>
              </w:rPr>
              <w:t>Tur</w:t>
            </w:r>
          </w:p>
        </w:tc>
        <w:tc>
          <w:tcPr>
            <w:tcW w:w="1928" w:type="dxa"/>
          </w:tcPr>
          <w:p w14:paraId="426E07C7">
            <w:pPr>
              <w:spacing w:before="40" w:after="40" w:line="240" w:lineRule="auto"/>
            </w:pPr>
            <w:r>
              <w:rPr>
                <w:rFonts w:ascii="Arial" w:hAnsi="Arial"/>
                <w:b/>
                <w:sz w:val="20"/>
              </w:rPr>
              <w:t>Belirsizlik katsayısı k</w:t>
            </w:r>
          </w:p>
        </w:tc>
        <w:tc>
          <w:tcPr>
            <w:tcW w:w="1474" w:type="dxa"/>
          </w:tcPr>
          <w:p w14:paraId="4147543B">
            <w:pPr>
              <w:spacing w:before="40" w:after="40" w:line="240" w:lineRule="auto"/>
            </w:pPr>
            <w:r>
              <w:rPr>
                <w:rFonts w:ascii="Arial" w:hAnsi="Arial"/>
                <w:b/>
                <w:sz w:val="20"/>
              </w:rPr>
              <w:t>Eğitim satırı</w:t>
            </w:r>
          </w:p>
        </w:tc>
        <w:tc>
          <w:tcPr>
            <w:tcW w:w="1587" w:type="dxa"/>
          </w:tcPr>
          <w:p w14:paraId="04DD51A4">
            <w:pPr>
              <w:spacing w:before="40" w:after="40" w:line="240" w:lineRule="auto"/>
            </w:pPr>
            <w:r>
              <w:rPr>
                <w:rFonts w:ascii="Arial" w:hAnsi="Arial"/>
                <w:b/>
                <w:sz w:val="20"/>
              </w:rPr>
              <w:t>Ortalama sapma</w:t>
            </w:r>
          </w:p>
        </w:tc>
        <w:tc>
          <w:tcPr>
            <w:tcW w:w="1587" w:type="dxa"/>
          </w:tcPr>
          <w:p w14:paraId="10D0AE6C">
            <w:pPr>
              <w:spacing w:before="40" w:after="40" w:line="240" w:lineRule="auto"/>
            </w:pPr>
            <w:r>
              <w:rPr>
                <w:rFonts w:ascii="Arial" w:hAnsi="Arial"/>
                <w:b/>
                <w:sz w:val="20"/>
              </w:rPr>
              <w:t>En büyük sapma</w:t>
            </w:r>
          </w:p>
        </w:tc>
        <w:tc>
          <w:tcPr>
            <w:tcW w:w="1417" w:type="dxa"/>
          </w:tcPr>
          <w:p w14:paraId="1237BC66">
            <w:pPr>
              <w:spacing w:before="40" w:after="40" w:line="240" w:lineRule="auto"/>
            </w:pPr>
            <w:r>
              <w:rPr>
                <w:rFonts w:ascii="Arial" w:hAnsi="Arial"/>
                <w:b/>
                <w:sz w:val="20"/>
              </w:rPr>
              <w:t>Kapı</w:t>
            </w:r>
          </w:p>
        </w:tc>
      </w:tr>
      <w:tr w14:paraId="1403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06B4FB34">
            <w:pPr>
              <w:spacing w:before="40" w:after="40" w:line="240" w:lineRule="auto"/>
            </w:pPr>
            <w:r>
              <w:rPr>
                <w:rFonts w:ascii="Arial" w:hAnsi="Arial"/>
                <w:b w:val="0"/>
                <w:sz w:val="20"/>
              </w:rPr>
              <w:t>1</w:t>
            </w:r>
          </w:p>
        </w:tc>
        <w:tc>
          <w:tcPr>
            <w:tcW w:w="1928" w:type="dxa"/>
          </w:tcPr>
          <w:p w14:paraId="1E54FDA3">
            <w:pPr>
              <w:spacing w:before="40" w:after="40" w:line="240" w:lineRule="auto"/>
            </w:pPr>
            <w:r>
              <w:rPr>
                <w:rFonts w:ascii="Arial" w:hAnsi="Arial"/>
                <w:b w:val="0"/>
                <w:sz w:val="20"/>
              </w:rPr>
              <w:t>0</w:t>
            </w:r>
          </w:p>
        </w:tc>
        <w:tc>
          <w:tcPr>
            <w:tcW w:w="1474" w:type="dxa"/>
          </w:tcPr>
          <w:p w14:paraId="019D792C">
            <w:pPr>
              <w:spacing w:before="40" w:after="40" w:line="240" w:lineRule="auto"/>
            </w:pPr>
            <w:r>
              <w:rPr>
                <w:rFonts w:ascii="Arial" w:hAnsi="Arial"/>
                <w:b w:val="0"/>
                <w:sz w:val="20"/>
              </w:rPr>
              <w:t>151</w:t>
            </w:r>
          </w:p>
        </w:tc>
        <w:tc>
          <w:tcPr>
            <w:tcW w:w="1587" w:type="dxa"/>
          </w:tcPr>
          <w:p w14:paraId="60A7F2C9">
            <w:pPr>
              <w:spacing w:before="40" w:after="40" w:line="240" w:lineRule="auto"/>
            </w:pPr>
            <w:r>
              <w:rPr>
                <w:rFonts w:ascii="Arial" w:hAnsi="Arial"/>
                <w:b w:val="0"/>
                <w:sz w:val="20"/>
              </w:rPr>
              <w:t>%2,72</w:t>
            </w:r>
          </w:p>
        </w:tc>
        <w:tc>
          <w:tcPr>
            <w:tcW w:w="1587" w:type="dxa"/>
          </w:tcPr>
          <w:p w14:paraId="4E10F827">
            <w:pPr>
              <w:spacing w:before="40" w:after="40" w:line="240" w:lineRule="auto"/>
            </w:pPr>
            <w:r>
              <w:rPr>
                <w:rFonts w:ascii="Arial" w:hAnsi="Arial"/>
                <w:b w:val="0"/>
                <w:sz w:val="20"/>
              </w:rPr>
              <w:t>%5,22</w:t>
            </w:r>
          </w:p>
        </w:tc>
        <w:tc>
          <w:tcPr>
            <w:tcW w:w="1417" w:type="dxa"/>
          </w:tcPr>
          <w:p w14:paraId="4CDB0CDB">
            <w:pPr>
              <w:spacing w:before="40" w:after="40" w:line="240" w:lineRule="auto"/>
            </w:pPr>
            <w:r>
              <w:rPr>
                <w:rFonts w:ascii="Arial" w:hAnsi="Arial"/>
                <w:b w:val="0"/>
                <w:sz w:val="20"/>
              </w:rPr>
              <w:t>Kaldı</w:t>
            </w:r>
          </w:p>
        </w:tc>
      </w:tr>
      <w:tr w14:paraId="68CC1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4B55FE78">
            <w:pPr>
              <w:spacing w:before="40" w:after="40" w:line="240" w:lineRule="auto"/>
            </w:pPr>
            <w:r>
              <w:rPr>
                <w:rFonts w:ascii="Arial" w:hAnsi="Arial"/>
                <w:b w:val="0"/>
                <w:sz w:val="20"/>
              </w:rPr>
              <w:t>2</w:t>
            </w:r>
          </w:p>
        </w:tc>
        <w:tc>
          <w:tcPr>
            <w:tcW w:w="1928" w:type="dxa"/>
          </w:tcPr>
          <w:p w14:paraId="7708BCEC">
            <w:pPr>
              <w:spacing w:before="40" w:after="40" w:line="240" w:lineRule="auto"/>
            </w:pPr>
            <w:r>
              <w:rPr>
                <w:rFonts w:ascii="Arial" w:hAnsi="Arial"/>
                <w:b w:val="0"/>
                <w:sz w:val="20"/>
              </w:rPr>
              <w:t>0</w:t>
            </w:r>
          </w:p>
        </w:tc>
        <w:tc>
          <w:tcPr>
            <w:tcW w:w="1474" w:type="dxa"/>
          </w:tcPr>
          <w:p w14:paraId="499C98B7">
            <w:pPr>
              <w:spacing w:before="40" w:after="40" w:line="240" w:lineRule="auto"/>
            </w:pPr>
            <w:r>
              <w:rPr>
                <w:rFonts w:ascii="Arial" w:hAnsi="Arial"/>
                <w:b w:val="0"/>
                <w:sz w:val="20"/>
              </w:rPr>
              <w:t>159</w:t>
            </w:r>
          </w:p>
        </w:tc>
        <w:tc>
          <w:tcPr>
            <w:tcW w:w="1587" w:type="dxa"/>
          </w:tcPr>
          <w:p w14:paraId="2C8E434D">
            <w:pPr>
              <w:spacing w:before="40" w:after="40" w:line="240" w:lineRule="auto"/>
            </w:pPr>
            <w:r>
              <w:rPr>
                <w:rFonts w:ascii="Arial" w:hAnsi="Arial"/>
                <w:b w:val="0"/>
                <w:sz w:val="20"/>
              </w:rPr>
              <w:t>%3,40</w:t>
            </w:r>
          </w:p>
        </w:tc>
        <w:tc>
          <w:tcPr>
            <w:tcW w:w="1587" w:type="dxa"/>
          </w:tcPr>
          <w:p w14:paraId="653BBC63">
            <w:pPr>
              <w:spacing w:before="40" w:after="40" w:line="240" w:lineRule="auto"/>
            </w:pPr>
            <w:r>
              <w:rPr>
                <w:rFonts w:ascii="Arial" w:hAnsi="Arial"/>
                <w:b w:val="0"/>
                <w:sz w:val="20"/>
              </w:rPr>
              <w:t>%8,11</w:t>
            </w:r>
          </w:p>
        </w:tc>
        <w:tc>
          <w:tcPr>
            <w:tcW w:w="1417" w:type="dxa"/>
          </w:tcPr>
          <w:p w14:paraId="2EB6772D">
            <w:pPr>
              <w:spacing w:before="40" w:after="40" w:line="240" w:lineRule="auto"/>
            </w:pPr>
            <w:r>
              <w:rPr>
                <w:rFonts w:ascii="Arial" w:hAnsi="Arial"/>
                <w:b w:val="0"/>
                <w:sz w:val="20"/>
              </w:rPr>
              <w:t>Kaldı</w:t>
            </w:r>
          </w:p>
        </w:tc>
      </w:tr>
      <w:tr w14:paraId="048E2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74FC9B71">
            <w:pPr>
              <w:spacing w:before="40" w:after="40" w:line="240" w:lineRule="auto"/>
            </w:pPr>
            <w:r>
              <w:rPr>
                <w:rFonts w:ascii="Arial" w:hAnsi="Arial"/>
                <w:b w:val="0"/>
                <w:sz w:val="20"/>
              </w:rPr>
              <w:t>3</w:t>
            </w:r>
          </w:p>
        </w:tc>
        <w:tc>
          <w:tcPr>
            <w:tcW w:w="1928" w:type="dxa"/>
          </w:tcPr>
          <w:p w14:paraId="26DCC4CA">
            <w:pPr>
              <w:spacing w:before="40" w:after="40" w:line="240" w:lineRule="auto"/>
            </w:pPr>
            <w:r>
              <w:rPr>
                <w:rFonts w:ascii="Arial" w:hAnsi="Arial"/>
                <w:b w:val="0"/>
                <w:sz w:val="20"/>
              </w:rPr>
              <w:t>1,0</w:t>
            </w:r>
          </w:p>
        </w:tc>
        <w:tc>
          <w:tcPr>
            <w:tcW w:w="1474" w:type="dxa"/>
          </w:tcPr>
          <w:p w14:paraId="33A89E7A">
            <w:pPr>
              <w:spacing w:before="40" w:after="40" w:line="240" w:lineRule="auto"/>
            </w:pPr>
            <w:r>
              <w:rPr>
                <w:rFonts w:ascii="Arial" w:hAnsi="Arial"/>
                <w:b w:val="0"/>
                <w:sz w:val="20"/>
              </w:rPr>
              <w:t>167</w:t>
            </w:r>
          </w:p>
        </w:tc>
        <w:tc>
          <w:tcPr>
            <w:tcW w:w="1587" w:type="dxa"/>
          </w:tcPr>
          <w:p w14:paraId="12804055">
            <w:pPr>
              <w:spacing w:before="40" w:after="40" w:line="240" w:lineRule="auto"/>
            </w:pPr>
            <w:r>
              <w:rPr>
                <w:rFonts w:ascii="Arial" w:hAnsi="Arial"/>
                <w:b w:val="0"/>
                <w:sz w:val="20"/>
              </w:rPr>
              <w:t>%2,38</w:t>
            </w:r>
          </w:p>
        </w:tc>
        <w:tc>
          <w:tcPr>
            <w:tcW w:w="1587" w:type="dxa"/>
          </w:tcPr>
          <w:p w14:paraId="5E006346">
            <w:pPr>
              <w:spacing w:before="40" w:after="40" w:line="240" w:lineRule="auto"/>
            </w:pPr>
            <w:r>
              <w:rPr>
                <w:rFonts w:ascii="Arial" w:hAnsi="Arial"/>
                <w:b w:val="0"/>
                <w:sz w:val="20"/>
              </w:rPr>
              <w:t>%5,31</w:t>
            </w:r>
          </w:p>
        </w:tc>
        <w:tc>
          <w:tcPr>
            <w:tcW w:w="1417" w:type="dxa"/>
          </w:tcPr>
          <w:p w14:paraId="57C4C1A0">
            <w:pPr>
              <w:spacing w:before="40" w:after="40" w:line="240" w:lineRule="auto"/>
            </w:pPr>
            <w:r>
              <w:rPr>
                <w:rFonts w:ascii="Arial" w:hAnsi="Arial"/>
                <w:b w:val="0"/>
                <w:sz w:val="20"/>
              </w:rPr>
              <w:t>Kaldı</w:t>
            </w:r>
          </w:p>
        </w:tc>
      </w:tr>
      <w:tr w14:paraId="6B966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94" w:type="dxa"/>
          </w:tcPr>
          <w:p w14:paraId="59A3D302">
            <w:pPr>
              <w:spacing w:before="40" w:after="40" w:line="240" w:lineRule="auto"/>
            </w:pPr>
            <w:r>
              <w:rPr>
                <w:rFonts w:ascii="Arial" w:hAnsi="Arial"/>
                <w:b w:val="0"/>
                <w:sz w:val="20"/>
              </w:rPr>
              <w:t>4</w:t>
            </w:r>
          </w:p>
        </w:tc>
        <w:tc>
          <w:tcPr>
            <w:tcW w:w="1928" w:type="dxa"/>
          </w:tcPr>
          <w:p w14:paraId="35DE0B2F">
            <w:pPr>
              <w:spacing w:before="40" w:after="40" w:line="240" w:lineRule="auto"/>
            </w:pPr>
            <w:r>
              <w:rPr>
                <w:rFonts w:ascii="Arial" w:hAnsi="Arial"/>
                <w:b w:val="0"/>
                <w:sz w:val="20"/>
              </w:rPr>
              <w:t>0,5</w:t>
            </w:r>
          </w:p>
        </w:tc>
        <w:tc>
          <w:tcPr>
            <w:tcW w:w="1474" w:type="dxa"/>
          </w:tcPr>
          <w:p w14:paraId="12DCB0B7">
            <w:pPr>
              <w:spacing w:before="40" w:after="40" w:line="240" w:lineRule="auto"/>
            </w:pPr>
            <w:r>
              <w:rPr>
                <w:rFonts w:ascii="Arial" w:hAnsi="Arial"/>
                <w:b w:val="0"/>
                <w:sz w:val="20"/>
              </w:rPr>
              <w:t>175</w:t>
            </w:r>
          </w:p>
        </w:tc>
        <w:tc>
          <w:tcPr>
            <w:tcW w:w="1587" w:type="dxa"/>
          </w:tcPr>
          <w:p w14:paraId="5FE8999B">
            <w:pPr>
              <w:spacing w:before="40" w:after="40" w:line="240" w:lineRule="auto"/>
            </w:pPr>
            <w:r>
              <w:rPr>
                <w:rFonts w:ascii="Arial" w:hAnsi="Arial"/>
                <w:b w:val="0"/>
                <w:sz w:val="20"/>
              </w:rPr>
              <w:t>%1,89</w:t>
            </w:r>
          </w:p>
        </w:tc>
        <w:tc>
          <w:tcPr>
            <w:tcW w:w="1587" w:type="dxa"/>
          </w:tcPr>
          <w:p w14:paraId="69651F65">
            <w:pPr>
              <w:spacing w:before="40" w:after="40" w:line="240" w:lineRule="auto"/>
            </w:pPr>
            <w:r>
              <w:rPr>
                <w:rFonts w:ascii="Arial" w:hAnsi="Arial"/>
                <w:b w:val="0"/>
                <w:sz w:val="20"/>
              </w:rPr>
              <w:t>%4,57</w:t>
            </w:r>
          </w:p>
        </w:tc>
        <w:tc>
          <w:tcPr>
            <w:tcW w:w="1417" w:type="dxa"/>
          </w:tcPr>
          <w:p w14:paraId="5A5B9A40">
            <w:pPr>
              <w:spacing w:before="40" w:after="40" w:line="240" w:lineRule="auto"/>
            </w:pPr>
            <w:r>
              <w:rPr>
                <w:rFonts w:ascii="Arial" w:hAnsi="Arial"/>
                <w:b w:val="0"/>
                <w:sz w:val="20"/>
              </w:rPr>
              <w:t>Geçti</w:t>
            </w:r>
          </w:p>
        </w:tc>
      </w:tr>
    </w:tbl>
    <w:p w14:paraId="192F7F6C">
      <w:pPr>
        <w:jc w:val="both"/>
      </w:pPr>
      <w:r>
        <w:rPr>
          <w:rFonts w:ascii="Arial" w:hAnsi="Arial"/>
          <w:sz w:val="22"/>
        </w:rPr>
        <w:t>İlk iki turda toplam on altı sapmanın on dördü negatif işaretlidir; bu, rastgele bir hata dağılımı değil sistematik bir yanlılık göstergesidir. Vekil model, optimizasyonun yerleştiği bölgede tutarlı biçimde iyimser tahmin üretmektedir. Bulgunun yorumu Bölüm 5.2'de tartışılmaktadır. Uygulanan çözüm, Kriging modelinin ürettiği tahmin belirsizliğinin optimizasyona bir ceza terimi olarak aktarılmasıdır: amaç fonksiyonuna ortalama tahmin yerine ortalama ile standart sapmanın k katının toplamı verilmektedir.</w:t>
      </w:r>
    </w:p>
    <w:p w14:paraId="3C49DE02">
      <w:pPr>
        <w:jc w:val="both"/>
      </w:pPr>
      <w:r>
        <w:rPr>
          <w:rFonts w:ascii="Arial" w:hAnsi="Arial"/>
          <w:sz w:val="22"/>
        </w:rPr>
        <w:t>Dördüncü turda kabul ölçütü sağlanmıştır. Sekiz doğrulama noktasının tamamı toleransın içindedir; ortalama mutlak sapma %1,89, en büyük mutlak sapma %4,57 olarak ölçülmüştür. Nokta bazında sonuçlar Tablo 4.7 ve Şekil 4.4'te verilmiştir.</w:t>
      </w:r>
    </w:p>
    <w:p w14:paraId="4BA209DA">
      <w:pPr>
        <w:spacing w:before="120" w:after="120" w:line="240" w:lineRule="auto"/>
        <w:jc w:val="left"/>
      </w:pPr>
      <w:r>
        <w:rPr>
          <w:rFonts w:ascii="Arial" w:hAnsi="Arial"/>
          <w:sz w:val="20"/>
        </w:rPr>
        <w:t>Tablo 4.7. Dördüncü turda doğrulama noktalarının vekil model tahmini ile EnergyPlus sonucunun karşılaştırılması</w:t>
      </w:r>
      <w:bookmarkStart w:id="49" w:name="_Toc23602"/>
      <w:r>
        <w:rPr>
          <w:vanish/>
        </w:rPr>
        <w:fldChar w:fldCharType="begin"/>
      </w:r>
      <w:r>
        <w:rPr>
          <w:vanish/>
        </w:rPr>
        <w:instrText xml:space="preserve"> TC "Tablo 4.7. Dördüncü turda doğrulama noktalarının vekil model tahmini ile EnergyPlus sonucunun karşılaştırılması" \f t </w:instrText>
      </w:r>
      <w:r>
        <w:rPr>
          <w:vanish/>
        </w:rPr>
        <w:fldChar w:fldCharType="end"/>
      </w:r>
      <w:bookmarkEnd w:id="49"/>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3061"/>
        <w:gridCol w:w="1361"/>
        <w:gridCol w:w="1361"/>
        <w:gridCol w:w="1134"/>
      </w:tblGrid>
      <w:tr w14:paraId="6762D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07B2538">
            <w:pPr>
              <w:spacing w:before="40" w:after="40" w:line="240" w:lineRule="auto"/>
            </w:pPr>
            <w:r>
              <w:rPr>
                <w:rFonts w:ascii="Arial" w:hAnsi="Arial"/>
                <w:b/>
                <w:sz w:val="20"/>
              </w:rPr>
              <w:t>case_id</w:t>
            </w:r>
          </w:p>
        </w:tc>
        <w:tc>
          <w:tcPr>
            <w:tcW w:w="3061" w:type="dxa"/>
          </w:tcPr>
          <w:p w14:paraId="06DDC4F6">
            <w:pPr>
              <w:spacing w:before="40" w:after="40" w:line="240" w:lineRule="auto"/>
            </w:pPr>
            <w:r>
              <w:rPr>
                <w:rFonts w:ascii="Arial" w:hAnsi="Arial"/>
                <w:b/>
                <w:sz w:val="20"/>
              </w:rPr>
              <w:t>Seçim gerekçesi</w:t>
            </w:r>
          </w:p>
        </w:tc>
        <w:tc>
          <w:tcPr>
            <w:tcW w:w="1361" w:type="dxa"/>
          </w:tcPr>
          <w:p w14:paraId="3B0F10CC">
            <w:pPr>
              <w:spacing w:before="40" w:after="40" w:line="240" w:lineRule="auto"/>
            </w:pPr>
            <w:r>
              <w:rPr>
                <w:rFonts w:ascii="Arial" w:hAnsi="Arial"/>
                <w:b/>
                <w:sz w:val="20"/>
              </w:rPr>
              <w:t>Vekil tahmin</w:t>
            </w:r>
          </w:p>
        </w:tc>
        <w:tc>
          <w:tcPr>
            <w:tcW w:w="1361" w:type="dxa"/>
          </w:tcPr>
          <w:p w14:paraId="7B9B03DE">
            <w:pPr>
              <w:spacing w:before="40" w:after="40" w:line="240" w:lineRule="auto"/>
            </w:pPr>
            <w:r>
              <w:rPr>
                <w:rFonts w:ascii="Arial" w:hAnsi="Arial"/>
                <w:b/>
                <w:sz w:val="20"/>
              </w:rPr>
              <w:t>EnergyPlus</w:t>
            </w:r>
          </w:p>
        </w:tc>
        <w:tc>
          <w:tcPr>
            <w:tcW w:w="1134" w:type="dxa"/>
          </w:tcPr>
          <w:p w14:paraId="02798B5C">
            <w:pPr>
              <w:spacing w:before="40" w:after="40" w:line="240" w:lineRule="auto"/>
            </w:pPr>
            <w:r>
              <w:rPr>
                <w:rFonts w:ascii="Arial" w:hAnsi="Arial"/>
                <w:b/>
                <w:sz w:val="20"/>
              </w:rPr>
              <w:t>Sapma</w:t>
            </w:r>
          </w:p>
        </w:tc>
      </w:tr>
      <w:tr w14:paraId="4AB22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4AB327F5">
            <w:pPr>
              <w:spacing w:before="40" w:after="40" w:line="240" w:lineRule="auto"/>
            </w:pPr>
            <w:r>
              <w:rPr>
                <w:rFonts w:ascii="Arial" w:hAnsi="Arial"/>
                <w:b w:val="0"/>
                <w:sz w:val="20"/>
              </w:rPr>
              <w:t>eb5379b1550b</w:t>
            </w:r>
          </w:p>
        </w:tc>
        <w:tc>
          <w:tcPr>
            <w:tcW w:w="3061" w:type="dxa"/>
          </w:tcPr>
          <w:p w14:paraId="4B494AD2">
            <w:pPr>
              <w:spacing w:before="40" w:after="40" w:line="240" w:lineRule="auto"/>
            </w:pPr>
            <w:r>
              <w:rPr>
                <w:rFonts w:ascii="Arial" w:hAnsi="Arial"/>
                <w:b w:val="0"/>
                <w:sz w:val="20"/>
              </w:rPr>
              <w:t>uç nokta: konfor ihlali</w:t>
            </w:r>
          </w:p>
        </w:tc>
        <w:tc>
          <w:tcPr>
            <w:tcW w:w="1361" w:type="dxa"/>
          </w:tcPr>
          <w:p w14:paraId="035B9BB9">
            <w:pPr>
              <w:spacing w:before="40" w:after="40" w:line="240" w:lineRule="auto"/>
            </w:pPr>
            <w:r>
              <w:rPr>
                <w:rFonts w:ascii="Arial" w:hAnsi="Arial"/>
                <w:b w:val="0"/>
                <w:sz w:val="20"/>
              </w:rPr>
              <w:t>53,85</w:t>
            </w:r>
          </w:p>
        </w:tc>
        <w:tc>
          <w:tcPr>
            <w:tcW w:w="1361" w:type="dxa"/>
          </w:tcPr>
          <w:p w14:paraId="3DEFE927">
            <w:pPr>
              <w:spacing w:before="40" w:after="40" w:line="240" w:lineRule="auto"/>
            </w:pPr>
            <w:r>
              <w:rPr>
                <w:rFonts w:ascii="Arial" w:hAnsi="Arial"/>
                <w:b w:val="0"/>
                <w:sz w:val="20"/>
              </w:rPr>
              <w:t>51,50</w:t>
            </w:r>
          </w:p>
        </w:tc>
        <w:tc>
          <w:tcPr>
            <w:tcW w:w="1134" w:type="dxa"/>
          </w:tcPr>
          <w:p w14:paraId="3DF5A5D1">
            <w:pPr>
              <w:spacing w:before="40" w:after="40" w:line="240" w:lineRule="auto"/>
            </w:pPr>
            <w:r>
              <w:rPr>
                <w:rFonts w:ascii="Arial" w:hAnsi="Arial"/>
                <w:b w:val="0"/>
                <w:sz w:val="20"/>
              </w:rPr>
              <w:t>%4,57</w:t>
            </w:r>
          </w:p>
        </w:tc>
      </w:tr>
      <w:tr w14:paraId="2E82B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53C4FB86">
            <w:pPr>
              <w:spacing w:before="40" w:after="40" w:line="240" w:lineRule="auto"/>
            </w:pPr>
            <w:r>
              <w:rPr>
                <w:rFonts w:ascii="Arial" w:hAnsi="Arial"/>
                <w:b w:val="0"/>
                <w:sz w:val="20"/>
              </w:rPr>
              <w:t>c7a34665633a</w:t>
            </w:r>
          </w:p>
        </w:tc>
        <w:tc>
          <w:tcPr>
            <w:tcW w:w="3061" w:type="dxa"/>
          </w:tcPr>
          <w:p w14:paraId="56D27FB2">
            <w:pPr>
              <w:spacing w:before="40" w:after="40" w:line="240" w:lineRule="auto"/>
            </w:pPr>
            <w:r>
              <w:rPr>
                <w:rFonts w:ascii="Arial" w:hAnsi="Arial"/>
                <w:b w:val="0"/>
                <w:sz w:val="20"/>
              </w:rPr>
              <w:t>cephe dağılımı</w:t>
            </w:r>
          </w:p>
        </w:tc>
        <w:tc>
          <w:tcPr>
            <w:tcW w:w="1361" w:type="dxa"/>
          </w:tcPr>
          <w:p w14:paraId="2DFF9B48">
            <w:pPr>
              <w:spacing w:before="40" w:after="40" w:line="240" w:lineRule="auto"/>
            </w:pPr>
            <w:r>
              <w:rPr>
                <w:rFonts w:ascii="Arial" w:hAnsi="Arial"/>
                <w:b w:val="0"/>
                <w:sz w:val="20"/>
              </w:rPr>
              <w:t>61,21</w:t>
            </w:r>
          </w:p>
        </w:tc>
        <w:tc>
          <w:tcPr>
            <w:tcW w:w="1361" w:type="dxa"/>
          </w:tcPr>
          <w:p w14:paraId="33346904">
            <w:pPr>
              <w:spacing w:before="40" w:after="40" w:line="240" w:lineRule="auto"/>
            </w:pPr>
            <w:r>
              <w:rPr>
                <w:rFonts w:ascii="Arial" w:hAnsi="Arial"/>
                <w:b w:val="0"/>
                <w:sz w:val="20"/>
              </w:rPr>
              <w:t>59,15</w:t>
            </w:r>
          </w:p>
        </w:tc>
        <w:tc>
          <w:tcPr>
            <w:tcW w:w="1134" w:type="dxa"/>
          </w:tcPr>
          <w:p w14:paraId="61FDEB9F">
            <w:pPr>
              <w:spacing w:before="40" w:after="40" w:line="240" w:lineRule="auto"/>
            </w:pPr>
            <w:r>
              <w:rPr>
                <w:rFonts w:ascii="Arial" w:hAnsi="Arial"/>
                <w:b w:val="0"/>
                <w:sz w:val="20"/>
              </w:rPr>
              <w:t>%3,48</w:t>
            </w:r>
          </w:p>
        </w:tc>
      </w:tr>
      <w:tr w14:paraId="77740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3BDAFC90">
            <w:pPr>
              <w:spacing w:before="40" w:after="40" w:line="240" w:lineRule="auto"/>
            </w:pPr>
            <w:r>
              <w:rPr>
                <w:rFonts w:ascii="Arial" w:hAnsi="Arial"/>
                <w:b w:val="0"/>
                <w:sz w:val="20"/>
              </w:rPr>
              <w:t>e91ded845130</w:t>
            </w:r>
          </w:p>
        </w:tc>
        <w:tc>
          <w:tcPr>
            <w:tcW w:w="3061" w:type="dxa"/>
          </w:tcPr>
          <w:p w14:paraId="2EE4AC9F">
            <w:pPr>
              <w:spacing w:before="40" w:after="40" w:line="240" w:lineRule="auto"/>
            </w:pPr>
            <w:r>
              <w:rPr>
                <w:rFonts w:ascii="Arial" w:hAnsi="Arial"/>
                <w:b w:val="0"/>
                <w:sz w:val="20"/>
              </w:rPr>
              <w:t>uç nokta: EnPİ</w:t>
            </w:r>
          </w:p>
        </w:tc>
        <w:tc>
          <w:tcPr>
            <w:tcW w:w="1361" w:type="dxa"/>
          </w:tcPr>
          <w:p w14:paraId="481DE191">
            <w:pPr>
              <w:spacing w:before="40" w:after="40" w:line="240" w:lineRule="auto"/>
            </w:pPr>
            <w:r>
              <w:rPr>
                <w:rFonts w:ascii="Arial" w:hAnsi="Arial"/>
                <w:b w:val="0"/>
                <w:sz w:val="20"/>
              </w:rPr>
              <w:t>52,73</w:t>
            </w:r>
          </w:p>
        </w:tc>
        <w:tc>
          <w:tcPr>
            <w:tcW w:w="1361" w:type="dxa"/>
          </w:tcPr>
          <w:p w14:paraId="04975F06">
            <w:pPr>
              <w:spacing w:before="40" w:after="40" w:line="240" w:lineRule="auto"/>
            </w:pPr>
            <w:r>
              <w:rPr>
                <w:rFonts w:ascii="Arial" w:hAnsi="Arial"/>
                <w:b w:val="0"/>
                <w:sz w:val="20"/>
              </w:rPr>
              <w:t>51,06</w:t>
            </w:r>
          </w:p>
        </w:tc>
        <w:tc>
          <w:tcPr>
            <w:tcW w:w="1134" w:type="dxa"/>
          </w:tcPr>
          <w:p w14:paraId="2ADE7888">
            <w:pPr>
              <w:spacing w:before="40" w:after="40" w:line="240" w:lineRule="auto"/>
            </w:pPr>
            <w:r>
              <w:rPr>
                <w:rFonts w:ascii="Arial" w:hAnsi="Arial"/>
                <w:b w:val="0"/>
                <w:sz w:val="20"/>
              </w:rPr>
              <w:t>%3,26</w:t>
            </w:r>
          </w:p>
        </w:tc>
      </w:tr>
      <w:tr w14:paraId="10D23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02ADBB29">
            <w:pPr>
              <w:spacing w:before="40" w:after="40" w:line="240" w:lineRule="auto"/>
            </w:pPr>
            <w:r>
              <w:rPr>
                <w:rFonts w:ascii="Arial" w:hAnsi="Arial"/>
                <w:b w:val="0"/>
                <w:sz w:val="20"/>
              </w:rPr>
              <w:t>6a20b8abe4e4</w:t>
            </w:r>
          </w:p>
        </w:tc>
        <w:tc>
          <w:tcPr>
            <w:tcW w:w="3061" w:type="dxa"/>
          </w:tcPr>
          <w:p w14:paraId="10CF2485">
            <w:pPr>
              <w:spacing w:before="40" w:after="40" w:line="240" w:lineRule="auto"/>
            </w:pPr>
            <w:r>
              <w:rPr>
                <w:rFonts w:ascii="Arial" w:hAnsi="Arial"/>
                <w:b w:val="0"/>
                <w:sz w:val="20"/>
              </w:rPr>
              <w:t>TOPSIS uzlaşı çözümü</w:t>
            </w:r>
          </w:p>
        </w:tc>
        <w:tc>
          <w:tcPr>
            <w:tcW w:w="1361" w:type="dxa"/>
          </w:tcPr>
          <w:p w14:paraId="64BA80A3">
            <w:pPr>
              <w:spacing w:before="40" w:after="40" w:line="240" w:lineRule="auto"/>
            </w:pPr>
            <w:r>
              <w:rPr>
                <w:rFonts w:ascii="Arial" w:hAnsi="Arial"/>
                <w:b w:val="0"/>
                <w:sz w:val="20"/>
              </w:rPr>
              <w:t>72,75</w:t>
            </w:r>
          </w:p>
        </w:tc>
        <w:tc>
          <w:tcPr>
            <w:tcW w:w="1361" w:type="dxa"/>
          </w:tcPr>
          <w:p w14:paraId="5CA70846">
            <w:pPr>
              <w:spacing w:before="40" w:after="40" w:line="240" w:lineRule="auto"/>
            </w:pPr>
            <w:r>
              <w:rPr>
                <w:rFonts w:ascii="Arial" w:hAnsi="Arial"/>
                <w:b w:val="0"/>
                <w:sz w:val="20"/>
              </w:rPr>
              <w:t>73,83</w:t>
            </w:r>
          </w:p>
        </w:tc>
        <w:tc>
          <w:tcPr>
            <w:tcW w:w="1134" w:type="dxa"/>
          </w:tcPr>
          <w:p w14:paraId="78EC4902">
            <w:pPr>
              <w:spacing w:before="40" w:after="40" w:line="240" w:lineRule="auto"/>
            </w:pPr>
            <w:r>
              <w:rPr>
                <w:rFonts w:ascii="Arial" w:hAnsi="Arial"/>
                <w:b w:val="0"/>
                <w:sz w:val="20"/>
              </w:rPr>
              <w:t>%-1,47</w:t>
            </w:r>
          </w:p>
        </w:tc>
      </w:tr>
      <w:tr w14:paraId="136ED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7C4DCA52">
            <w:pPr>
              <w:spacing w:before="40" w:after="40" w:line="240" w:lineRule="auto"/>
            </w:pPr>
            <w:r>
              <w:rPr>
                <w:rFonts w:ascii="Arial" w:hAnsi="Arial"/>
                <w:b w:val="0"/>
                <w:sz w:val="20"/>
              </w:rPr>
              <w:t>9f6f92a7b48d</w:t>
            </w:r>
          </w:p>
        </w:tc>
        <w:tc>
          <w:tcPr>
            <w:tcW w:w="3061" w:type="dxa"/>
          </w:tcPr>
          <w:p w14:paraId="1FFB3468">
            <w:pPr>
              <w:spacing w:before="40" w:after="40" w:line="240" w:lineRule="auto"/>
            </w:pPr>
            <w:r>
              <w:rPr>
                <w:rFonts w:ascii="Arial" w:hAnsi="Arial"/>
                <w:b w:val="0"/>
                <w:sz w:val="20"/>
              </w:rPr>
              <w:t>cephe dağılımı</w:t>
            </w:r>
          </w:p>
        </w:tc>
        <w:tc>
          <w:tcPr>
            <w:tcW w:w="1361" w:type="dxa"/>
          </w:tcPr>
          <w:p w14:paraId="7D88563A">
            <w:pPr>
              <w:spacing w:before="40" w:after="40" w:line="240" w:lineRule="auto"/>
            </w:pPr>
            <w:r>
              <w:rPr>
                <w:rFonts w:ascii="Arial" w:hAnsi="Arial"/>
                <w:b w:val="0"/>
                <w:sz w:val="20"/>
              </w:rPr>
              <w:t>64,57</w:t>
            </w:r>
          </w:p>
        </w:tc>
        <w:tc>
          <w:tcPr>
            <w:tcW w:w="1361" w:type="dxa"/>
          </w:tcPr>
          <w:p w14:paraId="5B61F9BC">
            <w:pPr>
              <w:spacing w:before="40" w:after="40" w:line="240" w:lineRule="auto"/>
            </w:pPr>
            <w:r>
              <w:rPr>
                <w:rFonts w:ascii="Arial" w:hAnsi="Arial"/>
                <w:b w:val="0"/>
                <w:sz w:val="20"/>
              </w:rPr>
              <w:t>64,04</w:t>
            </w:r>
          </w:p>
        </w:tc>
        <w:tc>
          <w:tcPr>
            <w:tcW w:w="1134" w:type="dxa"/>
          </w:tcPr>
          <w:p w14:paraId="04019931">
            <w:pPr>
              <w:spacing w:before="40" w:after="40" w:line="240" w:lineRule="auto"/>
            </w:pPr>
            <w:r>
              <w:rPr>
                <w:rFonts w:ascii="Arial" w:hAnsi="Arial"/>
                <w:b w:val="0"/>
                <w:sz w:val="20"/>
              </w:rPr>
              <w:t>%0,84</w:t>
            </w:r>
          </w:p>
        </w:tc>
      </w:tr>
      <w:tr w14:paraId="11DD9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CB31095">
            <w:pPr>
              <w:spacing w:before="40" w:after="40" w:line="240" w:lineRule="auto"/>
            </w:pPr>
            <w:r>
              <w:rPr>
                <w:rFonts w:ascii="Arial" w:hAnsi="Arial"/>
                <w:b w:val="0"/>
                <w:sz w:val="20"/>
              </w:rPr>
              <w:t>502a05f8fd3e</w:t>
            </w:r>
          </w:p>
        </w:tc>
        <w:tc>
          <w:tcPr>
            <w:tcW w:w="3061" w:type="dxa"/>
          </w:tcPr>
          <w:p w14:paraId="284A5C8D">
            <w:pPr>
              <w:spacing w:before="40" w:after="40" w:line="240" w:lineRule="auto"/>
            </w:pPr>
            <w:r>
              <w:rPr>
                <w:rFonts w:ascii="Arial" w:hAnsi="Arial"/>
                <w:b w:val="0"/>
                <w:sz w:val="20"/>
              </w:rPr>
              <w:t>cephe dağılımı</w:t>
            </w:r>
          </w:p>
        </w:tc>
        <w:tc>
          <w:tcPr>
            <w:tcW w:w="1361" w:type="dxa"/>
          </w:tcPr>
          <w:p w14:paraId="67CA9113">
            <w:pPr>
              <w:spacing w:before="40" w:after="40" w:line="240" w:lineRule="auto"/>
            </w:pPr>
            <w:r>
              <w:rPr>
                <w:rFonts w:ascii="Arial" w:hAnsi="Arial"/>
                <w:b w:val="0"/>
                <w:sz w:val="20"/>
              </w:rPr>
              <w:t>67,26</w:t>
            </w:r>
          </w:p>
        </w:tc>
        <w:tc>
          <w:tcPr>
            <w:tcW w:w="1361" w:type="dxa"/>
          </w:tcPr>
          <w:p w14:paraId="464FBFD8">
            <w:pPr>
              <w:spacing w:before="40" w:after="40" w:line="240" w:lineRule="auto"/>
            </w:pPr>
            <w:r>
              <w:rPr>
                <w:rFonts w:ascii="Arial" w:hAnsi="Arial"/>
                <w:b w:val="0"/>
                <w:sz w:val="20"/>
              </w:rPr>
              <w:t>66,82</w:t>
            </w:r>
          </w:p>
        </w:tc>
        <w:tc>
          <w:tcPr>
            <w:tcW w:w="1134" w:type="dxa"/>
          </w:tcPr>
          <w:p w14:paraId="1D40D3A5">
            <w:pPr>
              <w:spacing w:before="40" w:after="40" w:line="240" w:lineRule="auto"/>
            </w:pPr>
            <w:r>
              <w:rPr>
                <w:rFonts w:ascii="Arial" w:hAnsi="Arial"/>
                <w:b w:val="0"/>
                <w:sz w:val="20"/>
              </w:rPr>
              <w:t>%0,66</w:t>
            </w:r>
          </w:p>
        </w:tc>
      </w:tr>
      <w:tr w14:paraId="1040B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74AD61F4">
            <w:pPr>
              <w:spacing w:before="40" w:after="40" w:line="240" w:lineRule="auto"/>
            </w:pPr>
            <w:r>
              <w:rPr>
                <w:rFonts w:ascii="Arial" w:hAnsi="Arial"/>
                <w:b w:val="0"/>
                <w:sz w:val="20"/>
              </w:rPr>
              <w:t>af4bc22bbcd9</w:t>
            </w:r>
          </w:p>
        </w:tc>
        <w:tc>
          <w:tcPr>
            <w:tcW w:w="3061" w:type="dxa"/>
          </w:tcPr>
          <w:p w14:paraId="3C2FEB96">
            <w:pPr>
              <w:spacing w:before="40" w:after="40" w:line="240" w:lineRule="auto"/>
            </w:pPr>
            <w:r>
              <w:rPr>
                <w:rFonts w:ascii="Arial" w:hAnsi="Arial"/>
                <w:b w:val="0"/>
                <w:sz w:val="20"/>
              </w:rPr>
              <w:t>cephe dağılımı</w:t>
            </w:r>
          </w:p>
        </w:tc>
        <w:tc>
          <w:tcPr>
            <w:tcW w:w="1361" w:type="dxa"/>
          </w:tcPr>
          <w:p w14:paraId="45B0026A">
            <w:pPr>
              <w:spacing w:before="40" w:after="40" w:line="240" w:lineRule="auto"/>
            </w:pPr>
            <w:r>
              <w:rPr>
                <w:rFonts w:ascii="Arial" w:hAnsi="Arial"/>
                <w:b w:val="0"/>
                <w:sz w:val="20"/>
              </w:rPr>
              <w:t>77,83</w:t>
            </w:r>
          </w:p>
        </w:tc>
        <w:tc>
          <w:tcPr>
            <w:tcW w:w="1361" w:type="dxa"/>
          </w:tcPr>
          <w:p w14:paraId="537CB1F9">
            <w:pPr>
              <w:spacing w:before="40" w:after="40" w:line="240" w:lineRule="auto"/>
            </w:pPr>
            <w:r>
              <w:rPr>
                <w:rFonts w:ascii="Arial" w:hAnsi="Arial"/>
                <w:b w:val="0"/>
                <w:sz w:val="20"/>
              </w:rPr>
              <w:t>77,43</w:t>
            </w:r>
          </w:p>
        </w:tc>
        <w:tc>
          <w:tcPr>
            <w:tcW w:w="1134" w:type="dxa"/>
          </w:tcPr>
          <w:p w14:paraId="2F6BEA1B">
            <w:pPr>
              <w:spacing w:before="40" w:after="40" w:line="240" w:lineRule="auto"/>
            </w:pPr>
            <w:r>
              <w:rPr>
                <w:rFonts w:ascii="Arial" w:hAnsi="Arial"/>
                <w:b w:val="0"/>
                <w:sz w:val="20"/>
              </w:rPr>
              <w:t>%0,51</w:t>
            </w:r>
          </w:p>
        </w:tc>
      </w:tr>
      <w:tr w14:paraId="36280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87" w:type="dxa"/>
          </w:tcPr>
          <w:p w14:paraId="637A67DA">
            <w:pPr>
              <w:spacing w:before="40" w:after="40" w:line="240" w:lineRule="auto"/>
            </w:pPr>
            <w:r>
              <w:rPr>
                <w:rFonts w:ascii="Arial" w:hAnsi="Arial"/>
                <w:b w:val="0"/>
                <w:sz w:val="20"/>
              </w:rPr>
              <w:t>be84bc06fe25</w:t>
            </w:r>
          </w:p>
        </w:tc>
        <w:tc>
          <w:tcPr>
            <w:tcW w:w="3061" w:type="dxa"/>
          </w:tcPr>
          <w:p w14:paraId="42B87822">
            <w:pPr>
              <w:spacing w:before="40" w:after="40" w:line="240" w:lineRule="auto"/>
            </w:pPr>
            <w:r>
              <w:rPr>
                <w:rFonts w:ascii="Arial" w:hAnsi="Arial"/>
                <w:b w:val="0"/>
                <w:sz w:val="20"/>
              </w:rPr>
              <w:t>uç nokta: yatırım maliyeti</w:t>
            </w:r>
          </w:p>
        </w:tc>
        <w:tc>
          <w:tcPr>
            <w:tcW w:w="1361" w:type="dxa"/>
          </w:tcPr>
          <w:p w14:paraId="29D217C4">
            <w:pPr>
              <w:spacing w:before="40" w:after="40" w:line="240" w:lineRule="auto"/>
            </w:pPr>
            <w:r>
              <w:rPr>
                <w:rFonts w:ascii="Arial" w:hAnsi="Arial"/>
                <w:b w:val="0"/>
                <w:sz w:val="20"/>
              </w:rPr>
              <w:t>110,77</w:t>
            </w:r>
          </w:p>
        </w:tc>
        <w:tc>
          <w:tcPr>
            <w:tcW w:w="1361" w:type="dxa"/>
          </w:tcPr>
          <w:p w14:paraId="318493B7">
            <w:pPr>
              <w:spacing w:before="40" w:after="40" w:line="240" w:lineRule="auto"/>
            </w:pPr>
            <w:r>
              <w:rPr>
                <w:rFonts w:ascii="Arial" w:hAnsi="Arial"/>
                <w:b w:val="0"/>
                <w:sz w:val="20"/>
              </w:rPr>
              <w:t>110,37</w:t>
            </w:r>
          </w:p>
        </w:tc>
        <w:tc>
          <w:tcPr>
            <w:tcW w:w="1134" w:type="dxa"/>
          </w:tcPr>
          <w:p w14:paraId="5D5765C7">
            <w:pPr>
              <w:spacing w:before="40" w:after="40" w:line="240" w:lineRule="auto"/>
            </w:pPr>
            <w:r>
              <w:rPr>
                <w:rFonts w:ascii="Arial" w:hAnsi="Arial"/>
                <w:b w:val="0"/>
                <w:sz w:val="20"/>
              </w:rPr>
              <w:t>%0,36</w:t>
            </w:r>
          </w:p>
        </w:tc>
      </w:tr>
    </w:tbl>
    <w:p w14:paraId="7A741911">
      <w:pPr>
        <w:spacing w:before="120" w:after="0"/>
        <w:jc w:val="center"/>
      </w:pPr>
      <w:r>
        <w:drawing>
          <wp:inline distT="0" distB="0" distL="114300" distR="114300">
            <wp:extent cx="5399405" cy="3569970"/>
            <wp:effectExtent l="0" t="0" r="10795" b="1143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400000" cy="3570411"/>
                    </a:xfrm>
                    <a:prstGeom prst="rect">
                      <a:avLst/>
                    </a:prstGeom>
                  </pic:spPr>
                </pic:pic>
              </a:graphicData>
            </a:graphic>
          </wp:inline>
        </w:drawing>
      </w:r>
    </w:p>
    <w:p w14:paraId="31966E70">
      <w:pPr>
        <w:spacing w:before="120" w:after="120" w:line="240" w:lineRule="auto"/>
        <w:jc w:val="left"/>
      </w:pPr>
      <w:r>
        <w:rPr>
          <w:rFonts w:ascii="Arial" w:hAnsi="Arial"/>
          <w:sz w:val="20"/>
        </w:rPr>
        <w:t>Şekil 4.4. Doğrulama noktalarında vekil model tahmininin EnergyPlus sonucundan sapması; kesikli çizgiler ±%5 kabul toleransını göstermektedir</w:t>
      </w:r>
      <w:bookmarkStart w:id="50" w:name="_Toc13875"/>
      <w:r>
        <w:rPr>
          <w:vanish/>
        </w:rPr>
        <w:fldChar w:fldCharType="begin"/>
      </w:r>
      <w:r>
        <w:rPr>
          <w:vanish/>
        </w:rPr>
        <w:instrText xml:space="preserve"> TC "Şekil 4.4. Doğrulama noktalarında vekil model tahmininin EnergyPlus sonucundan sapması; kesikli çizgiler ±%5 kabul toleransını göstermektedir" \f g </w:instrText>
      </w:r>
      <w:r>
        <w:rPr>
          <w:vanish/>
        </w:rPr>
        <w:fldChar w:fldCharType="end"/>
      </w:r>
      <w:bookmarkEnd w:id="50"/>
    </w:p>
    <w:p w14:paraId="37E42431">
      <w:pPr>
        <w:jc w:val="both"/>
      </w:pPr>
      <w:r>
        <w:rPr>
          <w:rFonts w:ascii="Arial" w:hAnsi="Arial"/>
          <w:sz w:val="22"/>
        </w:rPr>
        <w:t>Değerler enerji performans göstergesi cinsindendir. İlgili turda önerilen TOPSIS uzlaşı çözümünün sapması %1,47'dir. Bu çözüm, taban çizgisindeki 1.920,00 GJ tüketimi 1.128,65 GJ seviyesine indirmekte, enerji performans göstergesini ise 73,83 kWh/m²·yıl değerine çekmektedir.</w:t>
      </w:r>
    </w:p>
    <w:p w14:paraId="4964C366">
      <w:pPr>
        <w:jc w:val="both"/>
      </w:pPr>
      <w:r>
        <w:rPr>
          <w:rFonts w:ascii="Arial" w:hAnsi="Arial"/>
          <w:sz w:val="22"/>
        </w:rPr>
        <w:t>Konfor ihlali hedefinde vekil model, doğrulanan çözümlerde sıfır ihlal öngörmüş, gerçek koşuda ise sınırlı sayıda ihlal saati ölçülmüştür. Bu hedefin seyrek dağılımlı yapısı göz önüne alındığında beklenen bir sonuçtur ve raporlanan sapma değerleri enerji göstergesi üzerinden tanımlanmıştır.</w:t>
      </w:r>
    </w:p>
    <w:p w14:paraId="4328C5A7">
      <w:pPr>
        <w:pStyle w:val="3"/>
        <w:jc w:val="left"/>
      </w:pPr>
      <w:bookmarkStart w:id="51" w:name="_Toc5233"/>
      <w:r>
        <w:rPr>
          <w:rFonts w:ascii="Arial" w:hAnsi="Arial"/>
          <w:b/>
          <w:sz w:val="22"/>
        </w:rPr>
        <w:t>4.7 Sonuçların Arayüzde Sunumu</w:t>
      </w:r>
      <w:bookmarkEnd w:id="51"/>
    </w:p>
    <w:p w14:paraId="4B67BC4A">
      <w:pPr>
        <w:jc w:val="both"/>
      </w:pPr>
      <w:r>
        <w:rPr>
          <w:rFonts w:ascii="Arial" w:hAnsi="Arial"/>
          <w:sz w:val="22"/>
        </w:rPr>
        <w:t>Bölüm 4.2 – 4.6 arasında sunulan bulgular, yazılım aracının ilgili ekranlarında etkileşimli olarak da görüntülenebilmektedir. Bu ekranlar raporun statik tablolarının yerini almaz; analiz sonuçlarının yinelenebilirliğini ve karar vericiye aktarılabilirliğini gösterir. Ekranların tümü, raporun sayısal bölümlerini besleyen aynı çıktı dosyalarını okur; ayrı bir veri kopyası tutulmaz.</w:t>
      </w:r>
    </w:p>
    <w:p w14:paraId="0A3622D2">
      <w:pPr>
        <w:jc w:val="both"/>
      </w:pPr>
      <w:r>
        <w:rPr>
          <w:rFonts w:ascii="Arial" w:hAnsi="Arial"/>
          <w:sz w:val="22"/>
        </w:rPr>
        <w:t>Vekil Model ekranı Bölüm 4.2 ve 4.4'teki bulguları etkileşimli olarak sunar. Aday modellerin başarımı, bağımsız test kümesindeki ölçütler ve Sobol duyarlılık sıralaması aynı ekranda görüntülenir; kabul ölçütünü karşılamayan hedefler ayrıca işaretlenir.</w:t>
      </w:r>
    </w:p>
    <w:p w14:paraId="4FD4F4AD">
      <w:pPr>
        <w:spacing w:before="120" w:after="0"/>
        <w:jc w:val="center"/>
      </w:pPr>
      <w:r>
        <w:drawing>
          <wp:inline distT="0" distB="0" distL="114300" distR="114300">
            <wp:extent cx="5579745" cy="3719830"/>
            <wp:effectExtent l="0" t="0" r="13335" b="139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tretch>
                      <a:fillRect/>
                    </a:stretch>
                  </pic:blipFill>
                  <pic:spPr>
                    <a:xfrm>
                      <a:off x="0" y="0"/>
                      <a:ext cx="5580000" cy="3720000"/>
                    </a:xfrm>
                    <a:prstGeom prst="rect">
                      <a:avLst/>
                    </a:prstGeom>
                  </pic:spPr>
                </pic:pic>
              </a:graphicData>
            </a:graphic>
          </wp:inline>
        </w:drawing>
      </w:r>
    </w:p>
    <w:p w14:paraId="2B5BAFDE">
      <w:pPr>
        <w:spacing w:before="120" w:after="120" w:line="240" w:lineRule="auto"/>
        <w:jc w:val="left"/>
      </w:pPr>
      <w:r>
        <w:rPr>
          <w:rFonts w:ascii="Arial" w:hAnsi="Arial"/>
          <w:sz w:val="20"/>
        </w:rPr>
        <w:t>Şekil 4.5. Vekil Model ekranı: aday modellerin karşılaştırması, bağımsız test kümesi başarımı ve duyarlılık sıralaması</w:t>
      </w:r>
      <w:bookmarkStart w:id="52" w:name="_Toc696"/>
      <w:r>
        <w:rPr>
          <w:vanish/>
        </w:rPr>
        <w:fldChar w:fldCharType="begin"/>
      </w:r>
      <w:r>
        <w:rPr>
          <w:vanish/>
        </w:rPr>
        <w:instrText xml:space="preserve"> TC "Şekil 4.5. Vekil Model ekranı: aday modellerin karşılaştırması, bağımsız test kümesi başarımı ve duyarlılık sıralaması" \f g </w:instrText>
      </w:r>
      <w:r>
        <w:rPr>
          <w:vanish/>
        </w:rPr>
        <w:fldChar w:fldCharType="end"/>
      </w:r>
      <w:bookmarkEnd w:id="52"/>
    </w:p>
    <w:p w14:paraId="53A32779">
      <w:pPr>
        <w:jc w:val="both"/>
      </w:pPr>
      <w:r>
        <w:rPr>
          <w:rFonts w:ascii="Arial" w:hAnsi="Arial"/>
          <w:sz w:val="22"/>
        </w:rPr>
        <w:t>Pareto ekranı, Bölüm 4.5'te sunulan cepheyi etkileşimli olarak görüntüler. Çözümler amaç eksenlerine göre incelenebilir; TOPSIS uzlaşı çözümü ve uç noktalar ayrıca işaretlenmiştir.</w:t>
      </w:r>
    </w:p>
    <w:p w14:paraId="040A04FA">
      <w:pPr>
        <w:spacing w:before="120" w:after="0"/>
        <w:jc w:val="center"/>
      </w:pPr>
      <w:r>
        <w:drawing>
          <wp:inline distT="0" distB="0" distL="114300" distR="114300">
            <wp:extent cx="5579745" cy="3719830"/>
            <wp:effectExtent l="0" t="0" r="13335" b="139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tretch>
                      <a:fillRect/>
                    </a:stretch>
                  </pic:blipFill>
                  <pic:spPr>
                    <a:xfrm>
                      <a:off x="0" y="0"/>
                      <a:ext cx="5580000" cy="3720000"/>
                    </a:xfrm>
                    <a:prstGeom prst="rect">
                      <a:avLst/>
                    </a:prstGeom>
                  </pic:spPr>
                </pic:pic>
              </a:graphicData>
            </a:graphic>
          </wp:inline>
        </w:drawing>
      </w:r>
    </w:p>
    <w:p w14:paraId="69312817">
      <w:pPr>
        <w:spacing w:before="120" w:after="120" w:line="240" w:lineRule="auto"/>
        <w:jc w:val="left"/>
      </w:pPr>
      <w:r>
        <w:rPr>
          <w:rFonts w:ascii="Arial" w:hAnsi="Arial"/>
          <w:sz w:val="20"/>
        </w:rPr>
        <w:t>Şekil 4.6. Pareto ekranı: çok amaçlı optimizasyon cephesi ve hipervolüm yakınsaması</w:t>
      </w:r>
      <w:bookmarkStart w:id="53" w:name="_Toc29613"/>
      <w:r>
        <w:rPr>
          <w:vanish/>
        </w:rPr>
        <w:fldChar w:fldCharType="begin"/>
      </w:r>
      <w:r>
        <w:rPr>
          <w:vanish/>
        </w:rPr>
        <w:instrText xml:space="preserve"> TC "Şekil 4.6. Pareto ekranı: çok amaçlı optimizasyon cephesi ve hipervolüm yakınsaması" \f g </w:instrText>
      </w:r>
      <w:r>
        <w:rPr>
          <w:vanish/>
        </w:rPr>
        <w:fldChar w:fldCharType="end"/>
      </w:r>
      <w:bookmarkEnd w:id="53"/>
    </w:p>
    <w:p w14:paraId="40C69F36">
      <w:pPr>
        <w:jc w:val="both"/>
      </w:pPr>
      <w:r>
        <w:rPr>
          <w:rFonts w:ascii="Arial" w:hAnsi="Arial"/>
          <w:sz w:val="22"/>
        </w:rPr>
        <w:t>ISO 50001 ekranı, Bölüm 4.3'teki göstergeleri standardın kavram diliyle sunar. Önemli enerji kullanımlarının kümülatif payı, iklim normalizasyonunda kullanılan derece-gün değerleri ve taban çizgisi göstergeleri bu ekranda toplanmıştır. Taban çizgisinin ölçülmüş veriye kalibre edilmediği uyarısı ekranda açıkça yer alır.</w:t>
      </w:r>
    </w:p>
    <w:p w14:paraId="7583170A">
      <w:pPr>
        <w:spacing w:before="120" w:after="0"/>
        <w:jc w:val="center"/>
      </w:pPr>
      <w:r>
        <w:drawing>
          <wp:inline distT="0" distB="0" distL="114300" distR="114300">
            <wp:extent cx="5579745" cy="3719830"/>
            <wp:effectExtent l="0" t="0" r="13335" b="139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tretch>
                      <a:fillRect/>
                    </a:stretch>
                  </pic:blipFill>
                  <pic:spPr>
                    <a:xfrm>
                      <a:off x="0" y="0"/>
                      <a:ext cx="5580000" cy="3720000"/>
                    </a:xfrm>
                    <a:prstGeom prst="rect">
                      <a:avLst/>
                    </a:prstGeom>
                  </pic:spPr>
                </pic:pic>
              </a:graphicData>
            </a:graphic>
          </wp:inline>
        </w:drawing>
      </w:r>
    </w:p>
    <w:p w14:paraId="6042AD3F">
      <w:pPr>
        <w:spacing w:before="120" w:after="120" w:line="240" w:lineRule="auto"/>
        <w:jc w:val="left"/>
      </w:pPr>
      <w:r>
        <w:rPr>
          <w:rFonts w:ascii="Arial" w:hAnsi="Arial"/>
          <w:sz w:val="20"/>
        </w:rPr>
        <w:t>Şekil 4.7. ISO 50001 ekranı: önemli enerji kullanımları, derece-gün normalizasyonu ve enerji performans göstergeleri</w:t>
      </w:r>
      <w:bookmarkStart w:id="54" w:name="_Toc21617"/>
      <w:r>
        <w:rPr>
          <w:vanish/>
        </w:rPr>
        <w:fldChar w:fldCharType="begin"/>
      </w:r>
      <w:r>
        <w:rPr>
          <w:vanish/>
        </w:rPr>
        <w:instrText xml:space="preserve"> TC "Şekil 4.7. ISO 50001 ekranı: önemli enerji kullanımları, derece-gün normalizasyonu ve enerji performans göstergeleri" \f g </w:instrText>
      </w:r>
      <w:r>
        <w:rPr>
          <w:vanish/>
        </w:rPr>
        <w:fldChar w:fldCharType="end"/>
      </w:r>
      <w:bookmarkEnd w:id="54"/>
    </w:p>
    <w:p w14:paraId="2A3D3C2D">
      <w:pPr>
        <w:jc w:val="both"/>
      </w:pPr>
      <w:r>
        <w:rPr>
          <w:rFonts w:ascii="Arial" w:hAnsi="Arial"/>
          <w:sz w:val="22"/>
        </w:rPr>
        <w:t>Doğrulama ekranı, Bölüm 4.6'daki sonuçları nokta bazında listeler. Her doğrulama noktası için vekil model tahmini, gerçek EnergyPlus sonucu, sapma yüzdesi ve noktanın seçilme gerekçesi görüntülenir; kabul ölçütünün sağlanıp sağlanmadığı ekranın üst bandında belirtilir.</w:t>
      </w:r>
    </w:p>
    <w:p w14:paraId="5D108FE8">
      <w:pPr>
        <w:spacing w:before="120" w:after="0"/>
        <w:jc w:val="center"/>
      </w:pPr>
      <w:r>
        <w:drawing>
          <wp:inline distT="0" distB="0" distL="114300" distR="114300">
            <wp:extent cx="5579745" cy="3719830"/>
            <wp:effectExtent l="0" t="0" r="13335" b="139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tretch>
                      <a:fillRect/>
                    </a:stretch>
                  </pic:blipFill>
                  <pic:spPr>
                    <a:xfrm>
                      <a:off x="0" y="0"/>
                      <a:ext cx="5580000" cy="3720000"/>
                    </a:xfrm>
                    <a:prstGeom prst="rect">
                      <a:avLst/>
                    </a:prstGeom>
                  </pic:spPr>
                </pic:pic>
              </a:graphicData>
            </a:graphic>
          </wp:inline>
        </w:drawing>
      </w:r>
    </w:p>
    <w:p w14:paraId="20619AA5">
      <w:pPr>
        <w:spacing w:before="120" w:after="120" w:line="240" w:lineRule="auto"/>
        <w:jc w:val="left"/>
      </w:pPr>
      <w:r>
        <w:rPr>
          <w:rFonts w:ascii="Arial" w:hAnsi="Arial"/>
          <w:sz w:val="20"/>
        </w:rPr>
        <w:t>Şekil 4.8. Doğrulama ekranı: vekil model tahmini ile bağımsız EnergyPlus koşusunun nokta bazında karşılaştırılması</w:t>
      </w:r>
      <w:bookmarkStart w:id="55" w:name="_Toc12715"/>
      <w:r>
        <w:rPr>
          <w:vanish/>
        </w:rPr>
        <w:fldChar w:fldCharType="begin"/>
      </w:r>
      <w:r>
        <w:rPr>
          <w:vanish/>
        </w:rPr>
        <w:instrText xml:space="preserve"> TC "Şekil 4.8. Doğrulama ekranı: vekil model tahmini ile bağımsız EnergyPlus koşusunun nokta bazında karşılaştırılması" \f g </w:instrText>
      </w:r>
      <w:r>
        <w:rPr>
          <w:vanish/>
        </w:rPr>
        <w:fldChar w:fldCharType="end"/>
      </w:r>
      <w:bookmarkEnd w:id="55"/>
    </w:p>
    <w:p w14:paraId="5F21C859">
      <w:pPr>
        <w:pStyle w:val="2"/>
        <w:jc w:val="center"/>
      </w:pPr>
      <w:bookmarkStart w:id="56" w:name="_Toc12822"/>
      <w:r>
        <w:rPr>
          <w:rFonts w:ascii="Arial" w:hAnsi="Arial"/>
          <w:b/>
          <w:sz w:val="22"/>
        </w:rPr>
        <w:t>5. TARTIŞMA</w:t>
      </w:r>
      <w:bookmarkEnd w:id="56"/>
    </w:p>
    <w:p w14:paraId="65BD4059">
      <w:pPr>
        <w:pStyle w:val="3"/>
        <w:jc w:val="left"/>
      </w:pPr>
      <w:bookmarkStart w:id="57" w:name="_Toc2363"/>
      <w:r>
        <w:rPr>
          <w:rFonts w:ascii="Arial" w:hAnsi="Arial"/>
          <w:b/>
          <w:sz w:val="22"/>
        </w:rPr>
        <w:t>5.1 Başlangıç Hipotezinin Reddi</w:t>
      </w:r>
      <w:bookmarkEnd w:id="57"/>
    </w:p>
    <w:p w14:paraId="0FED1145">
      <w:pPr>
        <w:jc w:val="both"/>
      </w:pPr>
      <w:r>
        <w:rPr>
          <w:rFonts w:ascii="Arial" w:hAnsi="Arial"/>
          <w:sz w:val="22"/>
        </w:rPr>
        <w:t>Projenin kurgulandığı yalıtım odaklı hipotez, birbirinden bağımsız üç kanıt hattıyla reddedilmiştir. Birincisi duyarlılık analizidir: EPS kalınlığının birinci mertebe Sobol indisi 0,0002 değerindedir ve on bir değişken arasında son sırada yer almaktadır. İkincisi enerji dağılımıdır: bina soğutma ağırlıklıdır ve ısıtmanın payı %2,4 ile sınırlıdır. Üçüncüsü ise standarda uygunluk kontrolüdür: taban çizgisindeki dış duvarın ısı geçirgenlik katsayısı 0,2901 W/m²K olup TS 825'in 0,50 W/m²K sınırının belirgin biçimde altındadır; cam ısı geçirgenlik katsayısı ise 2,718 W/m²K ile 2,80 W/m²K sınırının altında kalmaktadır. Bina kabuğu her iki bileşende de standardı sağlamaktadır.</w:t>
      </w:r>
    </w:p>
    <w:p w14:paraId="7E051271">
      <w:pPr>
        <w:jc w:val="both"/>
      </w:pPr>
      <w:r>
        <w:rPr>
          <w:rFonts w:ascii="Arial" w:hAnsi="Arial"/>
          <w:sz w:val="22"/>
        </w:rPr>
        <w:t>Üç kanıt aynı sonuca işaret etmektedir: bu binada iyileştirme potansiyeli kabuğun standarda uydurulmasında değil, soğutma yükünün azaltılmasında bulunmaktadır. Kabuk hâlihazırda uyumlu olduğuna göre, mevzuata uyum gerekçesiyle yapılacak bir yalıtım veya cam yenilemesinin dayanağı yoktur; cam değişimi ancak güneş kazancını azaltarak soğutma yükünü düşürdüğü ölçüde gerekçelendirilebilir. Duyarlılık sıralamasının ilk üç basamağını chiller verimi, soğutma ayar noktası ve cam tipi oluşturmaktadır ki bunların tümü aynı fiziksel mekanizmaya, yani soğutma yüküne bağlanmaktadır.</w:t>
      </w:r>
    </w:p>
    <w:p w14:paraId="3513528D">
      <w:pPr>
        <w:jc w:val="both"/>
      </w:pPr>
      <w:r>
        <w:rPr>
          <w:rFonts w:ascii="Arial" w:hAnsi="Arial"/>
          <w:sz w:val="22"/>
        </w:rPr>
        <w:t>Bu sonuç yöntemin değerini ortaya koymaktadır. Sezgiye dayalı bir iyileştirme programı, kaynakların büyük bölümünü ölçülebilir bir kazanım üretmeyecek olan duvar yalıtımına yönlendirecekti. Nicel duyarlılık analizi, bu yanlış yönlendirmeyi yatırım kararı alınmadan önce ve sayısal kanıtla önlemiştir.</w:t>
      </w:r>
    </w:p>
    <w:p w14:paraId="6CE9ADDE">
      <w:pPr>
        <w:pStyle w:val="3"/>
        <w:jc w:val="left"/>
      </w:pPr>
      <w:bookmarkStart w:id="58" w:name="_Toc25341"/>
      <w:r>
        <w:rPr>
          <w:rFonts w:ascii="Arial" w:hAnsi="Arial"/>
          <w:b/>
          <w:sz w:val="22"/>
        </w:rPr>
        <w:t>5.2 Optimizasyonun Vekil Model Hatasını Sömürmesi</w:t>
      </w:r>
      <w:bookmarkEnd w:id="58"/>
    </w:p>
    <w:p w14:paraId="1DE89943">
      <w:pPr>
        <w:jc w:val="both"/>
      </w:pPr>
      <w:r>
        <w:rPr>
          <w:rFonts w:ascii="Arial" w:hAnsi="Arial"/>
          <w:sz w:val="22"/>
        </w:rPr>
        <w:t>Doğrulama sürecinin ilk iki turunda ortaya çıkan sistematik yanlılık, yöntem açısından çalışmanın en önemli bulgusudur. NSGA-II, amaç fonksiyonunu en küçüklerken vekil modelin gerçekten iyi olduğu noktalarla modelin iyi sandığı noktaları birbirinden ayırt edemez. Az örneklenmiş bir bölgede model iyimser tahmin üretiyorsa, optimizasyon tam olarak o bölgeye yerleşir.</w:t>
      </w:r>
    </w:p>
    <w:p w14:paraId="5575BCC8">
      <w:pPr>
        <w:jc w:val="both"/>
      </w:pPr>
      <w:r>
        <w:rPr>
          <w:rFonts w:ascii="Arial" w:hAnsi="Arial"/>
          <w:sz w:val="22"/>
        </w:rPr>
        <w:t>Bulgunun ölçülebilir kanıtı, adaptif örneklemenin tek başına durumu iyileştirmek yerine kötüleştirmesidir. Birinci turda en büyük sapma %5,22 iken, doğrulama noktaları eğitim kümesine eklenip model yeniden eğitildikten sonra ikinci turda sapma %8,11 seviyesine çıkmıştır. Aynı aralıkta vekil modelin bağımsız test kümesindeki hatası ise düşmüştür. Yani modelin ortalama doğruluğu artarken doğrulama sapması büyümüştür. Bu çelişki, sorunun modelin ortalama doğruluğunda değil, optimizasyonun modeli nerede sorguladığında olduğunu göstermektedir. Her adaptif tur cepheyi daha da dışarı ittiği için model kendi belirsizlik bölgesine doğru ilerlemiştir.</w:t>
      </w:r>
    </w:p>
    <w:p w14:paraId="33E29550">
      <w:pPr>
        <w:jc w:val="both"/>
      </w:pPr>
      <w:r>
        <w:rPr>
          <w:rFonts w:ascii="Arial" w:hAnsi="Arial"/>
          <w:sz w:val="22"/>
        </w:rPr>
        <w:t>Uygulanan çözüm, Jones vd. (1998) tarafından pahalı kara kutu eniyilemesinde önerilen belirsizlik temelli yaklaşımın uyarlanmasıdır. Kriging yalnızca tahmin değil tahmin belirsizliği de ürettiğinden, optimizasyona ortalama yerine ortalama ile standart sapmanın k katının toplamı verilmiştir. Model, emin olmadığı bölgede kendini cezalandırmakta ve cephe iyi örneklenmiş bölgede kalmaktadır. Katsayının k = 1,0 seçildiği üçüncü turda yanlılık yön değiştirerek tümüyle pozitife dönmüş, k = 0,5 değerinde ise dengelenmiş ve kabul ölçütü sağlanmıştır.</w:t>
      </w:r>
    </w:p>
    <w:p w14:paraId="2F1AD990">
      <w:pPr>
        <w:jc w:val="both"/>
      </w:pPr>
      <w:r>
        <w:rPr>
          <w:rFonts w:ascii="Arial" w:hAnsi="Arial"/>
          <w:sz w:val="22"/>
        </w:rPr>
        <w:t>Bu katsayının bir ayar parametresi olduğu ve mevcut çalışmada deneysel olarak belirlendiği açıkça belirtilmelidir. Bununla birlikte dördüncü turun doğrulama noktaları, ayarın yapıldığı noktalardan tamamen farklıdır; seçim mekanizması eğitim kümesindeki çözümleri aday havuzundan çıkarmaktadır. Dolayısıyla raporlanan sapmalar ayar sürecinden bağımsızdır.</w:t>
      </w:r>
    </w:p>
    <w:p w14:paraId="0F9C290E">
      <w:pPr>
        <w:jc w:val="both"/>
      </w:pPr>
      <w:r>
        <w:rPr>
          <w:rFonts w:ascii="Arial" w:hAnsi="Arial"/>
          <w:sz w:val="22"/>
        </w:rPr>
        <w:t>Buradan çıkan genel sonuç, vekil model tabanlı çok amaçlı optimizasyonda doğrulamanın üç bileşenin birlikte çalışmasını gerektirdiğidir: doğrulama noktalarının eğitim kümesine eklendiği adaptif örnekleme, optimizasyonu az örneklenmiş bölgeye itilmekten alıkoyan belirsizlik cezası ve dairesel doğrulamaya karşı koruma. Bu üçü olmadan doğrulama, modelin gerçek hatasını değil ezberini ölçer.</w:t>
      </w:r>
    </w:p>
    <w:p w14:paraId="0084586E">
      <w:pPr>
        <w:pStyle w:val="3"/>
        <w:jc w:val="left"/>
      </w:pPr>
      <w:bookmarkStart w:id="59" w:name="_Toc10709"/>
      <w:r>
        <w:rPr>
          <w:rFonts w:ascii="Arial" w:hAnsi="Arial"/>
          <w:b/>
          <w:sz w:val="22"/>
        </w:rPr>
        <w:t>5.3 Sınırlılıklar</w:t>
      </w:r>
      <w:bookmarkEnd w:id="59"/>
    </w:p>
    <w:p w14:paraId="17165EAC">
      <w:pPr>
        <w:jc w:val="both"/>
      </w:pPr>
      <w:r>
        <w:rPr>
          <w:rFonts w:ascii="Arial" w:hAnsi="Arial"/>
          <w:sz w:val="22"/>
        </w:rPr>
        <w:t>Çalışmanın sonuçları aşağıdaki sınırlar içinde yorumlanmalıdır.</w:t>
      </w:r>
    </w:p>
    <w:p w14:paraId="2E747C57">
      <w:pPr>
        <w:pStyle w:val="23"/>
        <w:spacing w:after="60" w:line="360" w:lineRule="auto"/>
      </w:pPr>
      <w:r>
        <w:rPr>
          <w:rFonts w:ascii="Arial" w:hAnsi="Arial"/>
          <w:sz w:val="22"/>
        </w:rPr>
        <w:t>Enerji taban çizgisi simülasyon kaynaklıdır ve ölçülmüş fatura verisine kalibre edilmemiştir. Bu nedenle mutlak tüketim değerleri değil, senaryolar arası göreli farklar anlamlıdır.</w:t>
      </w:r>
    </w:p>
    <w:p w14:paraId="5C90B6A4">
      <w:pPr>
        <w:pStyle w:val="23"/>
        <w:spacing w:after="60" w:line="360" w:lineRule="auto"/>
      </w:pPr>
      <w:r>
        <w:rPr>
          <w:rFonts w:ascii="Arial" w:hAnsi="Arial"/>
          <w:sz w:val="22"/>
        </w:rPr>
        <w:t>Yatırım maliyeti modelindeki birim fiyatlar varsayımdır. Pareto cephesinin maliyet ekseni, güncel piyasa fiyatlarıyla yeniden ölçeklenmelidir. Buna karşılık enerji ve konfor eksenleri bu varsayımdan etkilenmemektedir.</w:t>
      </w:r>
    </w:p>
    <w:p w14:paraId="326B2B1C">
      <w:pPr>
        <w:pStyle w:val="23"/>
        <w:spacing w:after="60" w:line="360" w:lineRule="auto"/>
      </w:pPr>
      <w:r>
        <w:rPr>
          <w:rFonts w:ascii="Arial" w:hAnsi="Arial"/>
          <w:sz w:val="22"/>
        </w:rPr>
        <w:t>TS 825 kısıtları üçüncü iklim bölgesi kabulüyle uygulanmıştır. Binanın gerçek iklim bölgesi doğrulanmalı ve gerekirse sınır değerler güncellenmelidir.</w:t>
      </w:r>
    </w:p>
    <w:p w14:paraId="36339B4B">
      <w:pPr>
        <w:pStyle w:val="23"/>
        <w:spacing w:after="60" w:line="360" w:lineRule="auto"/>
      </w:pPr>
      <w:r>
        <w:rPr>
          <w:rFonts w:ascii="Arial" w:hAnsi="Arial"/>
          <w:sz w:val="22"/>
        </w:rPr>
        <w:t>Isıtma enerjisi hedefinde vekil model kabul ölçütünü karşılamamaktadır. Bu hedef amaç fonksiyonlarında kullanılmadığından sonuçları etkilememekte, ancak ısıtma odaklı bir çalışma için modelin yeniden kurulması gerekir.</w:t>
      </w:r>
    </w:p>
    <w:p w14:paraId="3EA03AD5">
      <w:pPr>
        <w:pStyle w:val="23"/>
        <w:spacing w:after="60" w:line="360" w:lineRule="auto"/>
      </w:pPr>
      <w:r>
        <w:rPr>
          <w:rFonts w:ascii="Arial" w:hAnsi="Arial"/>
          <w:sz w:val="22"/>
        </w:rPr>
        <w:t>Eğitim kümesindeki koşuların bir bölümünde ısınma dönemi yakınsamasına ilişkin uyarılar bulunmaktadır. Uyarıların çoğu iklimlendirilmeyen tek bir bölgeyle ilgilidir ve konfor ölçütü bu bölgeyi dışlamaktadır.</w:t>
      </w:r>
    </w:p>
    <w:p w14:paraId="40ED757F">
      <w:pPr>
        <w:pStyle w:val="23"/>
        <w:spacing w:after="60" w:line="360" w:lineRule="auto"/>
      </w:pPr>
      <w:r>
        <w:rPr>
          <w:rFonts w:ascii="Arial" w:hAnsi="Arial"/>
          <w:sz w:val="22"/>
        </w:rPr>
        <w:t>Tasarım uzayındaki EPS kalınlığı üst sınırı, uygulamada karşılığı bulunmayan bir değere kadar genişletilmiştir. Duyarlılık sonuçları göz önüne alındığında bu aralığın daraltılması, hesaplama maliyetini önemli ölçüde azaltacaktır.</w:t>
      </w:r>
    </w:p>
    <w:p w14:paraId="0C2A1960">
      <w:pPr>
        <w:pStyle w:val="3"/>
        <w:jc w:val="left"/>
      </w:pPr>
      <w:bookmarkStart w:id="60" w:name="_Toc17380"/>
      <w:r>
        <w:rPr>
          <w:rFonts w:ascii="Arial" w:hAnsi="Arial"/>
          <w:b/>
          <w:sz w:val="22"/>
        </w:rPr>
        <w:t>5.4 Kısıt Değerinde Bulunan Hata ve Etkisi</w:t>
      </w:r>
      <w:bookmarkEnd w:id="60"/>
    </w:p>
    <w:p w14:paraId="67B2520B">
      <w:pPr>
        <w:jc w:val="both"/>
      </w:pPr>
      <w:r>
        <w:rPr>
          <w:rFonts w:ascii="Arial" w:hAnsi="Arial"/>
          <w:sz w:val="22"/>
        </w:rPr>
        <w:t>Raporun kaynakçası doğrulanırken TS 825 standardının EK 1-C çizelgesine ulaşılmış ve optimizasyon kısıtlarında kullanılan cam ısı geçirgenlik sınırının hatalı olduğu görülmüştür. Kullanılan değer 2,00 W/m²K, standarttaki değer ise dört iklim bölgesinde de 2,80 W/m²K'dir. Duvar sınırı (0,50 W/m²K) doğruydu.</w:t>
      </w:r>
    </w:p>
    <w:p w14:paraId="18CC614C">
      <w:pPr>
        <w:jc w:val="both"/>
      </w:pPr>
      <w:r>
        <w:rPr>
          <w:rFonts w:ascii="Arial" w:hAnsi="Arial"/>
          <w:sz w:val="22"/>
        </w:rPr>
        <w:t>Hatanın iki sonucu olmuştur. Birincisi, taban çizgisindeki camın (U = 2,718 W/m²K) standarda uygun olmadığı yönünde yanlış bir değerlendirmedir; doğru sınırla cam uygundur. İkincisi, kısıtın mevcut camın korunmasını yasaklamasıdır: düzeltme öncesi cephedeki seksen çözümün tamamı bir pencere değişimi içermek zorunda kalmış ve cam alanı 1.628,77 m² olduğundan her çözüme yaklaşık 1,5 milyon TL'lik bir zorunlu yatırım tabanı binmiştir.</w:t>
      </w:r>
    </w:p>
    <w:p w14:paraId="6CB66BB6">
      <w:pPr>
        <w:spacing w:before="120" w:after="120" w:line="240" w:lineRule="auto"/>
        <w:jc w:val="left"/>
      </w:pPr>
      <w:r>
        <w:rPr>
          <w:rFonts w:ascii="Arial" w:hAnsi="Arial"/>
          <w:sz w:val="20"/>
        </w:rPr>
        <w:t>Tablo 5.1. Cam sınırı düzeltmesinin Pareto cephesine etkisi</w:t>
      </w:r>
      <w:bookmarkStart w:id="61" w:name="_Toc31979"/>
      <w:r>
        <w:rPr>
          <w:vanish/>
        </w:rPr>
        <w:fldChar w:fldCharType="begin"/>
      </w:r>
      <w:r>
        <w:rPr>
          <w:vanish/>
        </w:rPr>
        <w:instrText xml:space="preserve"> TC "Tablo 5.1. Cam sınırı düzeltmesinin Pareto cephesine etkisi" \f t </w:instrText>
      </w:r>
      <w:r>
        <w:rPr>
          <w:vanish/>
        </w:rPr>
        <w:fldChar w:fldCharType="end"/>
      </w:r>
      <w:bookmarkEnd w:id="61"/>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28"/>
        <w:gridCol w:w="2551"/>
        <w:gridCol w:w="2608"/>
      </w:tblGrid>
      <w:tr w14:paraId="10B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18AF6886">
            <w:pPr>
              <w:spacing w:before="40" w:after="40" w:line="240" w:lineRule="auto"/>
            </w:pPr>
            <w:r>
              <w:rPr>
                <w:rFonts w:ascii="Arial" w:hAnsi="Arial"/>
                <w:b/>
                <w:sz w:val="20"/>
              </w:rPr>
              <w:t>Ölçüt</w:t>
            </w:r>
          </w:p>
        </w:tc>
        <w:tc>
          <w:tcPr>
            <w:tcW w:w="2551" w:type="dxa"/>
          </w:tcPr>
          <w:p w14:paraId="62F22407">
            <w:pPr>
              <w:spacing w:before="40" w:after="40" w:line="240" w:lineRule="auto"/>
            </w:pPr>
            <w:r>
              <w:rPr>
                <w:rFonts w:ascii="Arial" w:hAnsi="Arial"/>
                <w:b/>
                <w:sz w:val="20"/>
              </w:rPr>
              <w:t>Düzeltme öncesi (2,00)</w:t>
            </w:r>
          </w:p>
        </w:tc>
        <w:tc>
          <w:tcPr>
            <w:tcW w:w="2608" w:type="dxa"/>
          </w:tcPr>
          <w:p w14:paraId="00D631C1">
            <w:pPr>
              <w:spacing w:before="40" w:after="40" w:line="240" w:lineRule="auto"/>
            </w:pPr>
            <w:r>
              <w:rPr>
                <w:rFonts w:ascii="Arial" w:hAnsi="Arial"/>
                <w:b/>
                <w:sz w:val="20"/>
              </w:rPr>
              <w:t>Düzeltme sonrası (2,80)</w:t>
            </w:r>
          </w:p>
        </w:tc>
      </w:tr>
      <w:tr w14:paraId="08899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D71B119">
            <w:pPr>
              <w:spacing w:before="40" w:after="40" w:line="240" w:lineRule="auto"/>
            </w:pPr>
            <w:r>
              <w:rPr>
                <w:rFonts w:ascii="Arial" w:hAnsi="Arial"/>
                <w:b w:val="0"/>
                <w:sz w:val="20"/>
              </w:rPr>
              <w:t>En düşük EnPİ (kWh/m²·yıl)</w:t>
            </w:r>
          </w:p>
        </w:tc>
        <w:tc>
          <w:tcPr>
            <w:tcW w:w="2551" w:type="dxa"/>
          </w:tcPr>
          <w:p w14:paraId="4A0BDD8F">
            <w:pPr>
              <w:spacing w:before="40" w:after="40" w:line="240" w:lineRule="auto"/>
            </w:pPr>
            <w:r>
              <w:rPr>
                <w:rFonts w:ascii="Arial" w:hAnsi="Arial"/>
                <w:b w:val="0"/>
                <w:sz w:val="20"/>
              </w:rPr>
              <w:t>52,73</w:t>
            </w:r>
          </w:p>
        </w:tc>
        <w:tc>
          <w:tcPr>
            <w:tcW w:w="2608" w:type="dxa"/>
          </w:tcPr>
          <w:p w14:paraId="6B9D4E72">
            <w:pPr>
              <w:spacing w:before="40" w:after="40" w:line="240" w:lineRule="auto"/>
            </w:pPr>
            <w:r>
              <w:rPr>
                <w:rFonts w:ascii="Arial" w:hAnsi="Arial"/>
                <w:b w:val="0"/>
                <w:sz w:val="20"/>
              </w:rPr>
              <w:t>46,38</w:t>
            </w:r>
          </w:p>
        </w:tc>
      </w:tr>
      <w:tr w14:paraId="195C4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4C50E71D">
            <w:pPr>
              <w:spacing w:before="40" w:after="40" w:line="240" w:lineRule="auto"/>
            </w:pPr>
            <w:r>
              <w:rPr>
                <w:rFonts w:ascii="Arial" w:hAnsi="Arial"/>
                <w:b w:val="0"/>
                <w:sz w:val="20"/>
              </w:rPr>
              <w:t>En düşük yatırım maliyeti</w:t>
            </w:r>
          </w:p>
        </w:tc>
        <w:tc>
          <w:tcPr>
            <w:tcW w:w="2551" w:type="dxa"/>
          </w:tcPr>
          <w:p w14:paraId="6F0D7A77">
            <w:pPr>
              <w:spacing w:before="40" w:after="40" w:line="240" w:lineRule="auto"/>
            </w:pPr>
            <w:r>
              <w:rPr>
                <w:rFonts w:ascii="Arial" w:hAnsi="Arial"/>
                <w:b w:val="0"/>
                <w:sz w:val="20"/>
              </w:rPr>
              <w:t>1,466 milyon TL</w:t>
            </w:r>
          </w:p>
        </w:tc>
        <w:tc>
          <w:tcPr>
            <w:tcW w:w="2608" w:type="dxa"/>
          </w:tcPr>
          <w:p w14:paraId="39220C80">
            <w:pPr>
              <w:spacing w:before="40" w:after="40" w:line="240" w:lineRule="auto"/>
            </w:pPr>
            <w:r>
              <w:rPr>
                <w:rFonts w:ascii="Arial" w:hAnsi="Arial"/>
                <w:b w:val="0"/>
                <w:sz w:val="20"/>
              </w:rPr>
              <w:t>0 TL</w:t>
            </w:r>
          </w:p>
        </w:tc>
      </w:tr>
      <w:tr w14:paraId="74F41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3801642B">
            <w:pPr>
              <w:spacing w:before="40" w:after="40" w:line="240" w:lineRule="auto"/>
            </w:pPr>
            <w:r>
              <w:rPr>
                <w:rFonts w:ascii="Arial" w:hAnsi="Arial"/>
                <w:b w:val="0"/>
                <w:sz w:val="20"/>
              </w:rPr>
              <w:t>Mevcut camı koruyan çözüm sayısı</w:t>
            </w:r>
          </w:p>
        </w:tc>
        <w:tc>
          <w:tcPr>
            <w:tcW w:w="2551" w:type="dxa"/>
          </w:tcPr>
          <w:p w14:paraId="501FF135">
            <w:pPr>
              <w:spacing w:before="40" w:after="40" w:line="240" w:lineRule="auto"/>
            </w:pPr>
            <w:r>
              <w:rPr>
                <w:rFonts w:ascii="Arial" w:hAnsi="Arial"/>
                <w:b w:val="0"/>
                <w:sz w:val="20"/>
              </w:rPr>
              <w:t>0 / 80</w:t>
            </w:r>
          </w:p>
        </w:tc>
        <w:tc>
          <w:tcPr>
            <w:tcW w:w="2608" w:type="dxa"/>
          </w:tcPr>
          <w:p w14:paraId="55715DF6">
            <w:pPr>
              <w:spacing w:before="40" w:after="40" w:line="240" w:lineRule="auto"/>
            </w:pPr>
            <w:r>
              <w:rPr>
                <w:rFonts w:ascii="Arial" w:hAnsi="Arial"/>
                <w:b w:val="0"/>
                <w:sz w:val="20"/>
              </w:rPr>
              <w:t>28 / 80</w:t>
            </w:r>
          </w:p>
        </w:tc>
      </w:tr>
    </w:tbl>
    <w:p w14:paraId="3668E2B4">
      <w:pPr>
        <w:jc w:val="both"/>
      </w:pPr>
      <w:r>
        <w:rPr>
          <w:rFonts w:ascii="Arial" w:hAnsi="Arial"/>
          <w:sz w:val="22"/>
        </w:rPr>
        <w:t>Kısıt hiçbir çözümde bağlayıcı olmadığından, düzeltme öncesi cephedeki çözümlerin tamamı doğru sınıra göre de uygundur; sonuçlar geçersiz değil, eksiktir. Düzeltilmiş cephe, mevcut camın korunduğu ve yatırım maliyetinin sıfıra indiği bir bölgeyi de kapsamaktadır.</w:t>
      </w:r>
    </w:p>
    <w:p w14:paraId="60B6E3C2">
      <w:pPr>
        <w:jc w:val="both"/>
      </w:pPr>
      <w:r>
        <w:rPr>
          <w:rFonts w:ascii="Arial" w:hAnsi="Arial"/>
          <w:sz w:val="22"/>
        </w:rPr>
        <w:t>Bu bulgu, yöntemin kendisine ilişkin bir uyarı da taşımaktadır: kısıtların sayısal değerleri, tıpkı vekil modelin doğruluğu gibi, sonuçların geçerliliğini doğrudan belirler ve kaynağından doğrulanmalıdır. Standarda dayalı bir kısıt, standardın metnine bakılmadan yazıldığında, yöntemin geri kalanı kusursuz çalışsa bile cepheyi sistematik olarak daraltır.</w:t>
      </w:r>
    </w:p>
    <w:p w14:paraId="7BB90709">
      <w:pPr>
        <w:pStyle w:val="2"/>
        <w:jc w:val="center"/>
      </w:pPr>
      <w:bookmarkStart w:id="62" w:name="_Toc10533"/>
      <w:r>
        <w:rPr>
          <w:rFonts w:ascii="Arial" w:hAnsi="Arial"/>
          <w:b/>
          <w:sz w:val="22"/>
        </w:rPr>
        <w:t>6. SONUÇ VE ÖNERİLER</w:t>
      </w:r>
      <w:bookmarkEnd w:id="62"/>
    </w:p>
    <w:p w14:paraId="332A0B65">
      <w:pPr>
        <w:jc w:val="both"/>
      </w:pPr>
      <w:r>
        <w:rPr>
          <w:rFonts w:ascii="Arial" w:hAnsi="Arial"/>
          <w:sz w:val="22"/>
        </w:rPr>
        <w:t>Bu projede, önemli enerji kullanıcısı niteliğindeki bir kampüs binası için ISO 50001 uyumlu, vekil model tabanlı bir çok amaçlı optimizasyon yöntemi tasarlanmış ve simülasyon destekli sayısal doğrulamayla sınanmıştır. Elde edilen başlıca sonuçlar aşağıda özetlenmiştir.</w:t>
      </w:r>
    </w:p>
    <w:p w14:paraId="6EE9ADD4">
      <w:pPr>
        <w:pStyle w:val="23"/>
        <w:spacing w:after="60" w:line="360" w:lineRule="auto"/>
      </w:pPr>
      <w:r>
        <w:rPr>
          <w:rFonts w:ascii="Arial" w:hAnsi="Arial"/>
          <w:sz w:val="22"/>
        </w:rPr>
        <w:t>Vekil model, bağımsız test kümesinde %2,75 CVRMSE ve 0,994 belirlilik katsayısı ile ASHRAE Guideline 14 kabul sınırlarının içindedir ve EnergyPlus'a kıyasla milyonlar mertebesinde hızlanma sağlamaktadır.</w:t>
      </w:r>
    </w:p>
    <w:p w14:paraId="526EDAEC">
      <w:pPr>
        <w:pStyle w:val="23"/>
        <w:spacing w:after="60" w:line="360" w:lineRule="auto"/>
      </w:pPr>
      <w:r>
        <w:rPr>
          <w:rFonts w:ascii="Arial" w:hAnsi="Arial"/>
          <w:sz w:val="22"/>
        </w:rPr>
        <w:t>Pareto cephesinden seçilen sekiz nokta bağımsız EnergyPlus koşularıyla doğrulanmış, ortalama mutlak sapma %1,89 ile %5 kabul ölçütünün altında kalmıştır.</w:t>
      </w:r>
    </w:p>
    <w:p w14:paraId="09645CB8">
      <w:pPr>
        <w:pStyle w:val="23"/>
        <w:spacing w:after="60" w:line="360" w:lineRule="auto"/>
      </w:pPr>
      <w:r>
        <w:rPr>
          <w:rFonts w:ascii="Arial" w:hAnsi="Arial"/>
          <w:sz w:val="22"/>
        </w:rPr>
        <w:t>Önerilen uzlaşı çözümü, enerji performans göstergesini 125,60 kWh/m²·yıl seviyesinden 73,83 kWh/m²·yıl seviyesine indirmektedir; söz konusu çözümün doğrulama sapması %1,47'dir.</w:t>
      </w:r>
    </w:p>
    <w:p w14:paraId="5E43534F">
      <w:pPr>
        <w:pStyle w:val="23"/>
        <w:spacing w:after="60" w:line="360" w:lineRule="auto"/>
      </w:pPr>
      <w:r>
        <w:rPr>
          <w:rFonts w:ascii="Arial" w:hAnsi="Arial"/>
          <w:sz w:val="22"/>
        </w:rPr>
        <w:t>Başlangıçtaki yalıtım odaklı hipotez, üç bağımsız kanıt hattıyla reddedilmiştir. İyileştirme potansiyeli soğutma sistemi verimliliği, soğutma ayar noktası ve cam bileşeninde yoğunlaşmaktadır.</w:t>
      </w:r>
    </w:p>
    <w:p w14:paraId="2B4FF63C">
      <w:pPr>
        <w:pStyle w:val="23"/>
        <w:spacing w:after="60" w:line="360" w:lineRule="auto"/>
      </w:pPr>
      <w:r>
        <w:rPr>
          <w:rFonts w:ascii="Arial" w:hAnsi="Arial"/>
          <w:sz w:val="22"/>
        </w:rPr>
        <w:t>Vekil model tabanlı optimizasyonun, doğrulama olmaksızın sistematik olarak iyimser çözümler ürettiği ölçülmüş ve belirsizlik cezasıyla giderilmiştir.</w:t>
      </w:r>
    </w:p>
    <w:p w14:paraId="725A8941">
      <w:pPr>
        <w:pStyle w:val="3"/>
        <w:jc w:val="left"/>
      </w:pPr>
      <w:bookmarkStart w:id="63" w:name="_Toc8584"/>
      <w:r>
        <w:rPr>
          <w:rFonts w:ascii="Arial" w:hAnsi="Arial"/>
          <w:b/>
          <w:sz w:val="22"/>
        </w:rPr>
        <w:t>6.1 Uygulamaya Yönelik Öneriler</w:t>
      </w:r>
      <w:bookmarkEnd w:id="63"/>
    </w:p>
    <w:p w14:paraId="44CC3DC1">
      <w:pPr>
        <w:jc w:val="both"/>
      </w:pPr>
      <w:r>
        <w:rPr>
          <w:rFonts w:ascii="Arial" w:hAnsi="Arial"/>
          <w:sz w:val="22"/>
        </w:rPr>
        <w:t>Bina işletmesi açısından öncelik sıralaması aşağıdaki gibi önerilmektedir.</w:t>
      </w:r>
    </w:p>
    <w:p w14:paraId="6CF2DB88">
      <w:pPr>
        <w:pStyle w:val="23"/>
        <w:spacing w:after="60" w:line="360" w:lineRule="auto"/>
      </w:pPr>
      <w:r>
        <w:rPr>
          <w:rFonts w:ascii="Arial" w:hAnsi="Arial"/>
          <w:sz w:val="22"/>
        </w:rPr>
        <w:t>Yatırım gerektirmeyen ilk önlem, ayar noktalarının gözden geçirilmesidir. Mevcut durumda sekiz bölgenin tamamı yıl boyunca sabit 22/24 °C değerlerini kullanmakta, ölü bant yalnızca 2 K olmakta ve gece ile hafta sonu geri çekmesi bulunmamaktadır. Bu ayarlar, dış hava sıcaklığının düşük olduğu dönemlerde bile mekanik soğutma talebi doğurmaktadır.</w:t>
      </w:r>
    </w:p>
    <w:p w14:paraId="511ADBB3">
      <w:pPr>
        <w:pStyle w:val="23"/>
        <w:spacing w:after="60" w:line="360" w:lineRule="auto"/>
      </w:pPr>
      <w:r>
        <w:rPr>
          <w:rFonts w:ascii="Arial" w:hAnsi="Arial"/>
          <w:sz w:val="22"/>
        </w:rPr>
        <w:t>İkinci öncelik cam bileşenidir. Bina, modelde tanımlı yedi pencere konstrüksiyonunun en zayıfını 114 pencerenin tamamında kullanmaktadır. Mevcut cam TS 825 sınırını sağlamaktadır; dolayısıyla gerekçe mevzuata uyum değil, güneş kazancının azaltılmasıyla elde edilecek soğutma tasarrufudur. Cam-duvar oranının %78,61 olması bu kalemin kaldıracını artırmaktadır. Duyarlılık sıralamasında cam tipi üçüncü basamaktadır.</w:t>
      </w:r>
    </w:p>
    <w:p w14:paraId="7A8C9333">
      <w:pPr>
        <w:pStyle w:val="23"/>
        <w:spacing w:after="60" w:line="360" w:lineRule="auto"/>
      </w:pPr>
      <w:r>
        <w:rPr>
          <w:rFonts w:ascii="Arial" w:hAnsi="Arial"/>
          <w:sz w:val="22"/>
        </w:rPr>
        <w:t>Üçüncü öncelik soğutma sisteminin verimliliğidir; duyarlılık sıralamasında ilk basamak bu değişkene aittir.</w:t>
      </w:r>
    </w:p>
    <w:p w14:paraId="12C9557E">
      <w:pPr>
        <w:pStyle w:val="23"/>
        <w:spacing w:after="60" w:line="360" w:lineRule="auto"/>
      </w:pPr>
      <w:r>
        <w:rPr>
          <w:rFonts w:ascii="Arial" w:hAnsi="Arial"/>
          <w:sz w:val="22"/>
        </w:rPr>
        <w:t>Dış duvar yalıtımının artırılması, mevcut duvar TS 825 sınırını zaten sağladığı ve duyarlılık katkısı ihmal edilebilir düzeyde olduğu için öncelikli müdahale kalemi olarak önerilmemektedir.</w:t>
      </w:r>
    </w:p>
    <w:p w14:paraId="2398BD94">
      <w:pPr>
        <w:pStyle w:val="23"/>
        <w:spacing w:after="60" w:line="360" w:lineRule="auto"/>
      </w:pPr>
      <w:r>
        <w:rPr>
          <w:rFonts w:ascii="Arial" w:hAnsi="Arial"/>
          <w:sz w:val="22"/>
        </w:rPr>
        <w:t>Bu öncelik sıralaması, TS 825'in raporun hazırlandığı sırada geçerli olan önceki sürümüne dayanmaktadır. Standardın Ekim 2024 revizyonu daha sıkı değerler getirmiş olup 1 Nisan 2025'te yürürlüğe girmiştir; kabuk uygunluğu güncel sürüme göre yeniden denetlenmelidir.</w:t>
      </w:r>
    </w:p>
    <w:p w14:paraId="58F800A2">
      <w:pPr>
        <w:pStyle w:val="3"/>
        <w:jc w:val="left"/>
      </w:pPr>
      <w:bookmarkStart w:id="64" w:name="_Toc14492"/>
      <w:r>
        <w:rPr>
          <w:rFonts w:ascii="Arial" w:hAnsi="Arial"/>
          <w:b/>
          <w:sz w:val="22"/>
        </w:rPr>
        <w:t>6.2 Sonraki Çalışmalar İçin Öneriler</w:t>
      </w:r>
      <w:bookmarkEnd w:id="64"/>
    </w:p>
    <w:p w14:paraId="1717CA99">
      <w:pPr>
        <w:pStyle w:val="23"/>
        <w:spacing w:after="60" w:line="360" w:lineRule="auto"/>
      </w:pPr>
      <w:r>
        <w:rPr>
          <w:rFonts w:ascii="Arial" w:hAnsi="Arial"/>
          <w:sz w:val="22"/>
        </w:rPr>
        <w:t>Taban çizgisinin ölçülmüş tüketim verisiyle kalibre edilmesi, sonuçların ISO 50001 kapsamında resmî bir performans beyanına dönüştürülmesini sağlayacaktır.</w:t>
      </w:r>
    </w:p>
    <w:p w14:paraId="7C51CE0B">
      <w:pPr>
        <w:pStyle w:val="23"/>
        <w:spacing w:after="60" w:line="360" w:lineRule="auto"/>
      </w:pPr>
      <w:r>
        <w:rPr>
          <w:rFonts w:ascii="Arial" w:hAnsi="Arial"/>
          <w:sz w:val="22"/>
        </w:rPr>
        <w:t>Belirsizlik ceza katsayısının deneysel olarak değil, doğrulama yanlılığını sıfırlayacak biçimde özdevimli olarak ayarlanması yöntemi daha genel hâle getirecektir.</w:t>
      </w:r>
    </w:p>
    <w:p w14:paraId="0960C085">
      <w:pPr>
        <w:pStyle w:val="23"/>
        <w:spacing w:after="60" w:line="360" w:lineRule="auto"/>
      </w:pPr>
      <w:r>
        <w:rPr>
          <w:rFonts w:ascii="Arial" w:hAnsi="Arial"/>
          <w:sz w:val="22"/>
        </w:rPr>
        <w:t>Yatırım maliyeti modelinin güncel piyasa fiyatlarıyla ve yaşam döngüsü maliyeti yaklaşımıyla yeniden kurulması, Pareto cephesinin karar vericiler açısından doğrudan kullanılabilir olmasını sağlayacaktır.</w:t>
      </w:r>
    </w:p>
    <w:p w14:paraId="6F3970B6">
      <w:pPr>
        <w:pStyle w:val="23"/>
        <w:spacing w:after="60" w:line="360" w:lineRule="auto"/>
      </w:pPr>
      <w:r>
        <w:rPr>
          <w:rFonts w:ascii="Arial" w:hAnsi="Arial"/>
          <w:sz w:val="22"/>
        </w:rPr>
        <w:t>Tasarım uzayının duyarlılık sonuçlarına göre daraltılması ve serbest kalan hesaplama bütçesinin soğutma sistemi değişkenlerine ayrılması, aynı maliyetle daha yüksek çözünürlüklü bir cephe üretecektir.</w:t>
      </w:r>
    </w:p>
    <w:p w14:paraId="05FB1C00">
      <w:pPr>
        <w:pStyle w:val="2"/>
        <w:jc w:val="center"/>
      </w:pPr>
      <w:bookmarkStart w:id="65" w:name="_Toc18587"/>
      <w:r>
        <w:rPr>
          <w:rFonts w:ascii="Arial" w:hAnsi="Arial"/>
          <w:b/>
          <w:sz w:val="22"/>
        </w:rPr>
        <w:t>KAYNAKLAR</w:t>
      </w:r>
      <w:bookmarkEnd w:id="65"/>
    </w:p>
    <w:p w14:paraId="6791F4FE">
      <w:pPr>
        <w:spacing w:after="120" w:line="240" w:lineRule="auto"/>
        <w:ind w:left="567" w:hanging="567"/>
        <w:jc w:val="both"/>
      </w:pPr>
      <w:r>
        <w:rPr>
          <w:rFonts w:ascii="Arial" w:hAnsi="Arial"/>
          <w:sz w:val="22"/>
        </w:rPr>
        <w:t>ASHRAE. 2014. ASHRAE Guideline 14-2014: Measurement of Energy, Demand, and Water Savings. Atlanta: American Society of Heating, Refrigerating and Air-Conditioning Engineers.</w:t>
      </w:r>
    </w:p>
    <w:p w14:paraId="33582AC4">
      <w:pPr>
        <w:spacing w:after="120" w:line="240" w:lineRule="auto"/>
        <w:ind w:left="567" w:hanging="567"/>
        <w:jc w:val="both"/>
      </w:pPr>
      <w:r>
        <w:rPr>
          <w:rFonts w:ascii="Arial" w:hAnsi="Arial"/>
          <w:sz w:val="22"/>
        </w:rPr>
        <w:t>Blank, J., Deb, K. 2020. “pymoo: Multi-objective optimization in Python”, IEEE Access, 8, 89497-89509.</w:t>
      </w:r>
    </w:p>
    <w:p w14:paraId="4F81E208">
      <w:pPr>
        <w:spacing w:after="120" w:line="240" w:lineRule="auto"/>
        <w:ind w:left="567" w:hanging="567"/>
        <w:jc w:val="both"/>
      </w:pPr>
      <w:r>
        <w:rPr>
          <w:rFonts w:ascii="Arial" w:hAnsi="Arial"/>
          <w:sz w:val="22"/>
        </w:rPr>
        <w:t>Crawley, D. B., Lawrie, L. K., Winkelmann, F. C., Buhl, W. F., Huang, Y. J., Pedersen, C. O., Strand, R. K., Liesen, R. J., Fisher, D. E., Witte, M. J., Glazer, J. 2001. “EnergyPlus: creating a new-generation building energy simulation program”, Energy and Buildings, 33(4), 319-331.</w:t>
      </w:r>
    </w:p>
    <w:p w14:paraId="49C37D90">
      <w:pPr>
        <w:spacing w:after="120" w:line="240" w:lineRule="auto"/>
        <w:ind w:left="567" w:hanging="567"/>
        <w:jc w:val="both"/>
      </w:pPr>
      <w:r>
        <w:rPr>
          <w:rFonts w:ascii="Arial" w:hAnsi="Arial"/>
          <w:sz w:val="22"/>
        </w:rPr>
        <w:t>Deb, K., Pratap, A., Agarwal, S., Meyarivan, T. 2002. “A fast and elitist multiobjective genetic algorithm: NSGA-II”, IEEE Transactions on Evolutionary Computation, 6(2), 182-197.</w:t>
      </w:r>
    </w:p>
    <w:p w14:paraId="78D1CD99">
      <w:pPr>
        <w:spacing w:after="120" w:line="240" w:lineRule="auto"/>
        <w:ind w:left="567" w:hanging="567"/>
        <w:jc w:val="both"/>
      </w:pPr>
      <w:r>
        <w:rPr>
          <w:rFonts w:ascii="Arial" w:hAnsi="Arial"/>
          <w:sz w:val="22"/>
        </w:rPr>
        <w:t>Hwang, C. L., Yoon, K. 1981. Multiple Attribute Decision Making: Methods and Applications — A State-of-the-Art Survey. Berlin: Springer-Verlag.</w:t>
      </w:r>
    </w:p>
    <w:p w14:paraId="7C22AC3E">
      <w:pPr>
        <w:spacing w:after="120" w:line="240" w:lineRule="auto"/>
        <w:ind w:left="567" w:hanging="567"/>
        <w:jc w:val="both"/>
      </w:pPr>
      <w:r>
        <w:rPr>
          <w:rFonts w:ascii="Arial" w:hAnsi="Arial"/>
          <w:sz w:val="22"/>
        </w:rPr>
        <w:t>ISO. 2023. ISO 50006: Energy management systems — Evaluating energy performance using energy performance indicators and energy baselines (2. baskı). Cenevre: International Organization for Standardization.</w:t>
      </w:r>
    </w:p>
    <w:p w14:paraId="6F0C7459">
      <w:pPr>
        <w:spacing w:after="120" w:line="240" w:lineRule="auto"/>
        <w:ind w:left="567" w:hanging="567"/>
        <w:jc w:val="both"/>
      </w:pPr>
      <w:r>
        <w:rPr>
          <w:rFonts w:ascii="Arial" w:hAnsi="Arial"/>
          <w:sz w:val="22"/>
        </w:rPr>
        <w:t>Jones, D. R., Schonlau, M., Welch, W. J. 1998. “Efficient global optimization of expensive black-box functions”, Journal of Global Optimization, 13(4), 455-492.</w:t>
      </w:r>
    </w:p>
    <w:p w14:paraId="58F25A60">
      <w:pPr>
        <w:spacing w:after="120" w:line="240" w:lineRule="auto"/>
        <w:ind w:left="567" w:hanging="567"/>
        <w:jc w:val="both"/>
      </w:pPr>
      <w:r>
        <w:rPr>
          <w:rFonts w:ascii="Arial" w:hAnsi="Arial"/>
          <w:sz w:val="22"/>
        </w:rPr>
        <w:t>Nguyen, A. T., Reiter, S., Rigo, P. 2014. “A review on simulation-based optimization methods applied to building performance analysis”, Applied Energy, 113, 1043-1058.</w:t>
      </w:r>
    </w:p>
    <w:p w14:paraId="7F493DD3">
      <w:pPr>
        <w:spacing w:after="120" w:line="240" w:lineRule="auto"/>
        <w:ind w:left="567" w:hanging="567"/>
        <w:jc w:val="both"/>
      </w:pPr>
      <w:r>
        <w:rPr>
          <w:rFonts w:ascii="Arial" w:hAnsi="Arial"/>
          <w:sz w:val="22"/>
        </w:rPr>
        <w:t>Pedregosa, F., Varoquaux, G., Gramfort, A., Michel, V., Thirion, B., Grisel, O., Blondel, M., Prettenhofer, P., Weiss, R., Dubourg, V., Vanderplas, J., Passos, A., Cournapeau, D., Brucher, M., Perrot, M., Duchesnay, E. 2011. “Scikit-learn: machine learning in Python”, Journal of Machine Learning Research, 12, 2825-2830.</w:t>
      </w:r>
    </w:p>
    <w:p w14:paraId="6D3F893E">
      <w:pPr>
        <w:spacing w:after="120" w:line="240" w:lineRule="auto"/>
        <w:ind w:left="567" w:hanging="567"/>
        <w:jc w:val="both"/>
      </w:pPr>
      <w:r>
        <w:rPr>
          <w:rFonts w:ascii="Arial" w:hAnsi="Arial"/>
          <w:sz w:val="22"/>
        </w:rPr>
        <w:t>Rasmussen, C. E., Williams, C. K. I. 2006. Gaussian Processes for Machine Learning. Cambridge: MIT Press.</w:t>
      </w:r>
    </w:p>
    <w:p w14:paraId="533BD81C">
      <w:pPr>
        <w:spacing w:after="120" w:line="240" w:lineRule="auto"/>
        <w:ind w:left="567" w:hanging="567"/>
        <w:jc w:val="both"/>
      </w:pPr>
      <w:r>
        <w:rPr>
          <w:rFonts w:ascii="Arial" w:hAnsi="Arial"/>
          <w:sz w:val="22"/>
        </w:rPr>
        <w:t>Saltelli, A., Annoni, P., Azzini, I., Campolongo, F., Ratto, M., Tarantola, S. 2010. “Variance based sensitivity analysis of model output. Design and estimator for the total sensitivity index”, Computer Physics Communications, 181(2), 259-270.</w:t>
      </w:r>
    </w:p>
    <w:p w14:paraId="7C6C1CF1">
      <w:pPr>
        <w:spacing w:after="120" w:line="240" w:lineRule="auto"/>
        <w:ind w:left="567" w:hanging="567"/>
        <w:jc w:val="both"/>
      </w:pPr>
      <w:r>
        <w:rPr>
          <w:rFonts w:ascii="Arial" w:hAnsi="Arial"/>
          <w:sz w:val="22"/>
        </w:rPr>
        <w:t>Sobol, I. M. 2001. “Global sensitivity indices for nonlinear mathematical models and their Monte Carlo estimates”, Mathematics and Computers in Simulation, 55(1-3), 271-280.</w:t>
      </w:r>
    </w:p>
    <w:p w14:paraId="7605E1A2">
      <w:pPr>
        <w:spacing w:after="120" w:line="240" w:lineRule="auto"/>
        <w:ind w:left="567" w:hanging="567"/>
        <w:jc w:val="both"/>
      </w:pPr>
      <w:r>
        <w:rPr>
          <w:rFonts w:ascii="Arial" w:hAnsi="Arial"/>
          <w:sz w:val="22"/>
        </w:rPr>
        <w:t>TSE. 2008. TS 825: Binalarda Isı Yalıtım Kuralları. Ankara: Türk Standardları Enstitüsü. (Ekim 2024 revizyonu 1 Nisan 2025 itibarıyla yürürlüktedir.)</w:t>
      </w:r>
    </w:p>
    <w:p w14:paraId="7BA3C9A0">
      <w:pPr>
        <w:spacing w:after="120" w:line="240" w:lineRule="auto"/>
        <w:ind w:left="567" w:hanging="567"/>
        <w:jc w:val="both"/>
      </w:pPr>
      <w:r>
        <w:rPr>
          <w:rFonts w:ascii="Arial" w:hAnsi="Arial"/>
          <w:sz w:val="22"/>
        </w:rPr>
        <w:t>TSE. 2018. TS EN ISO 50001: Enerji yönetim sistemleri — Şartlar ve kullanım kılavuzu. Ankara: Türk Standardları Enstitüsü.</w:t>
      </w:r>
    </w:p>
    <w:p w14:paraId="28D1B01F">
      <w:pPr>
        <w:spacing w:after="120" w:line="240" w:lineRule="auto"/>
        <w:ind w:left="567" w:hanging="567"/>
        <w:jc w:val="both"/>
      </w:pPr>
      <w:r>
        <w:rPr>
          <w:rFonts w:ascii="Arial" w:hAnsi="Arial"/>
          <w:sz w:val="22"/>
        </w:rPr>
        <w:t>Westermann, P., Evins, R. 2019. “Surrogate modelling for sustainable building design — A review”, Energy and Buildings, 198, 170-186.</w:t>
      </w:r>
    </w:p>
    <w:p w14:paraId="2842AAF6">
      <w:pPr>
        <w:spacing w:after="120" w:line="240" w:lineRule="auto"/>
        <w:ind w:left="567" w:hanging="567"/>
        <w:jc w:val="both"/>
      </w:pPr>
      <w:r>
        <w:rPr>
          <w:rFonts w:ascii="Arial" w:hAnsi="Arial"/>
          <w:sz w:val="22"/>
        </w:rPr>
        <w:t>Zitzler, E., Thiele, L. 1999. “Multiobjective evolutionary algorithms: a comparative case study and the strength Pareto approach”, IEEE Transactions on Evolutionary Computation, 3(4), 257-271.</w:t>
      </w:r>
    </w:p>
    <w:p w14:paraId="3AFBC8D1">
      <w:pPr>
        <w:pStyle w:val="2"/>
        <w:jc w:val="center"/>
      </w:pPr>
      <w:bookmarkStart w:id="66" w:name="_Toc22304"/>
      <w:r>
        <w:rPr>
          <w:rFonts w:ascii="Arial" w:hAnsi="Arial"/>
          <w:b/>
          <w:sz w:val="22"/>
        </w:rPr>
        <w:t>EKLER</w:t>
      </w:r>
      <w:bookmarkEnd w:id="66"/>
    </w:p>
    <w:p w14:paraId="5611AFF1">
      <w:pPr>
        <w:pStyle w:val="3"/>
        <w:jc w:val="left"/>
      </w:pPr>
      <w:bookmarkStart w:id="67" w:name="_Toc30073"/>
      <w:r>
        <w:rPr>
          <w:rFonts w:ascii="Arial" w:hAnsi="Arial"/>
          <w:b/>
          <w:sz w:val="22"/>
        </w:rPr>
        <w:t>Ek A. Önerilen Uzlaşı Çözümünün Parametreleri</w:t>
      </w:r>
      <w:bookmarkEnd w:id="67"/>
    </w:p>
    <w:p w14:paraId="29CEADE9">
      <w:pPr>
        <w:jc w:val="both"/>
      </w:pPr>
      <w:r>
        <w:rPr>
          <w:rFonts w:ascii="Arial" w:hAnsi="Arial"/>
          <w:sz w:val="22"/>
        </w:rPr>
        <w:t>Bölüm 4.6'da doğrulanan TOPSIS uzlaşı çözümünün karar değişkeni değerleri Tablo A.1'de verilmiştir. Değerler taban çizgisiyle birlikte sunulmuştur.</w:t>
      </w:r>
    </w:p>
    <w:p w14:paraId="56E1A794">
      <w:pPr>
        <w:spacing w:before="120" w:after="120" w:line="240" w:lineRule="auto"/>
        <w:jc w:val="left"/>
      </w:pPr>
      <w:r>
        <w:rPr>
          <w:rFonts w:ascii="Arial" w:hAnsi="Arial"/>
          <w:sz w:val="20"/>
        </w:rPr>
        <w:t>Tablo A.1. Önerilen uzlaşı çözümünün karar değişkeni değerleri</w:t>
      </w:r>
      <w:bookmarkStart w:id="68" w:name="_Toc10177"/>
      <w:r>
        <w:rPr>
          <w:vanish/>
        </w:rPr>
        <w:fldChar w:fldCharType="begin"/>
      </w:r>
      <w:r>
        <w:rPr>
          <w:vanish/>
        </w:rPr>
        <w:instrText xml:space="preserve"> TC "Tablo A.1. Önerilen uzlaşı çözümünün karar değişkeni değerleri" \f t </w:instrText>
      </w:r>
      <w:r>
        <w:rPr>
          <w:vanish/>
        </w:rPr>
        <w:fldChar w:fldCharType="end"/>
      </w:r>
      <w:bookmarkEnd w:id="68"/>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28"/>
        <w:gridCol w:w="2551"/>
        <w:gridCol w:w="2608"/>
      </w:tblGrid>
      <w:tr w14:paraId="7926D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3E501593">
            <w:pPr>
              <w:spacing w:before="40" w:after="40" w:line="240" w:lineRule="auto"/>
            </w:pPr>
            <w:r>
              <w:rPr>
                <w:rFonts w:ascii="Arial" w:hAnsi="Arial"/>
                <w:b/>
                <w:sz w:val="20"/>
              </w:rPr>
              <w:t>Karar değişkeni</w:t>
            </w:r>
          </w:p>
        </w:tc>
        <w:tc>
          <w:tcPr>
            <w:tcW w:w="2551" w:type="dxa"/>
          </w:tcPr>
          <w:p w14:paraId="1C85F773">
            <w:pPr>
              <w:spacing w:before="40" w:after="40" w:line="240" w:lineRule="auto"/>
            </w:pPr>
            <w:r>
              <w:rPr>
                <w:rFonts w:ascii="Arial" w:hAnsi="Arial"/>
                <w:b/>
                <w:sz w:val="20"/>
              </w:rPr>
              <w:t>Taban çizgisi</w:t>
            </w:r>
          </w:p>
        </w:tc>
        <w:tc>
          <w:tcPr>
            <w:tcW w:w="2608" w:type="dxa"/>
          </w:tcPr>
          <w:p w14:paraId="374F9EB0">
            <w:pPr>
              <w:spacing w:before="40" w:after="40" w:line="240" w:lineRule="auto"/>
            </w:pPr>
            <w:r>
              <w:rPr>
                <w:rFonts w:ascii="Arial" w:hAnsi="Arial"/>
                <w:b/>
                <w:sz w:val="20"/>
              </w:rPr>
              <w:t>Önerilen çözüm</w:t>
            </w:r>
          </w:p>
        </w:tc>
      </w:tr>
      <w:tr w14:paraId="5180D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53CFBA83">
            <w:pPr>
              <w:spacing w:before="40" w:after="40" w:line="240" w:lineRule="auto"/>
            </w:pPr>
            <w:r>
              <w:rPr>
                <w:rFonts w:ascii="Arial" w:hAnsi="Arial"/>
                <w:b w:val="0"/>
                <w:sz w:val="20"/>
              </w:rPr>
              <w:t>Cam tipi</w:t>
            </w:r>
          </w:p>
        </w:tc>
        <w:tc>
          <w:tcPr>
            <w:tcW w:w="2551" w:type="dxa"/>
          </w:tcPr>
          <w:p w14:paraId="3ED28FDC">
            <w:pPr>
              <w:spacing w:before="40" w:after="40" w:line="240" w:lineRule="auto"/>
            </w:pPr>
            <w:r>
              <w:rPr>
                <w:rFonts w:ascii="Arial" w:hAnsi="Arial"/>
                <w:b w:val="0"/>
                <w:sz w:val="20"/>
              </w:rPr>
              <w:t>penc_std_4mm</w:t>
            </w:r>
          </w:p>
        </w:tc>
        <w:tc>
          <w:tcPr>
            <w:tcW w:w="2608" w:type="dxa"/>
          </w:tcPr>
          <w:p w14:paraId="7D2F4218">
            <w:pPr>
              <w:spacing w:before="40" w:after="40" w:line="240" w:lineRule="auto"/>
            </w:pPr>
            <w:r>
              <w:rPr>
                <w:rFonts w:ascii="Arial" w:hAnsi="Arial"/>
                <w:b w:val="0"/>
                <w:sz w:val="20"/>
              </w:rPr>
              <w:t>penc_cont_6_4mm</w:t>
            </w:r>
          </w:p>
        </w:tc>
      </w:tr>
      <w:tr w14:paraId="13968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5FF0303D">
            <w:pPr>
              <w:spacing w:before="40" w:after="40" w:line="240" w:lineRule="auto"/>
            </w:pPr>
            <w:r>
              <w:rPr>
                <w:rFonts w:ascii="Arial" w:hAnsi="Arial"/>
                <w:b w:val="0"/>
                <w:sz w:val="20"/>
              </w:rPr>
              <w:t>Isıtma ayar noktası</w:t>
            </w:r>
          </w:p>
        </w:tc>
        <w:tc>
          <w:tcPr>
            <w:tcW w:w="2551" w:type="dxa"/>
          </w:tcPr>
          <w:p w14:paraId="6C9F987A">
            <w:pPr>
              <w:spacing w:before="40" w:after="40" w:line="240" w:lineRule="auto"/>
            </w:pPr>
            <w:r>
              <w:rPr>
                <w:rFonts w:ascii="Arial" w:hAnsi="Arial"/>
                <w:b w:val="0"/>
                <w:sz w:val="20"/>
              </w:rPr>
              <w:t>22,000</w:t>
            </w:r>
          </w:p>
        </w:tc>
        <w:tc>
          <w:tcPr>
            <w:tcW w:w="2608" w:type="dxa"/>
          </w:tcPr>
          <w:p w14:paraId="197332AA">
            <w:pPr>
              <w:spacing w:before="40" w:after="40" w:line="240" w:lineRule="auto"/>
            </w:pPr>
            <w:r>
              <w:rPr>
                <w:rFonts w:ascii="Arial" w:hAnsi="Arial"/>
                <w:b w:val="0"/>
                <w:sz w:val="20"/>
              </w:rPr>
              <w:t>20,125</w:t>
            </w:r>
          </w:p>
        </w:tc>
      </w:tr>
      <w:tr w14:paraId="7BBB6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5B591D6E">
            <w:pPr>
              <w:spacing w:before="40" w:after="40" w:line="240" w:lineRule="auto"/>
            </w:pPr>
            <w:r>
              <w:rPr>
                <w:rFonts w:ascii="Arial" w:hAnsi="Arial"/>
                <w:b w:val="0"/>
                <w:sz w:val="20"/>
              </w:rPr>
              <w:t>Soğutma ayar noktası</w:t>
            </w:r>
          </w:p>
        </w:tc>
        <w:tc>
          <w:tcPr>
            <w:tcW w:w="2551" w:type="dxa"/>
          </w:tcPr>
          <w:p w14:paraId="0B103767">
            <w:pPr>
              <w:spacing w:before="40" w:after="40" w:line="240" w:lineRule="auto"/>
            </w:pPr>
            <w:r>
              <w:rPr>
                <w:rFonts w:ascii="Arial" w:hAnsi="Arial"/>
                <w:b w:val="0"/>
                <w:sz w:val="20"/>
              </w:rPr>
              <w:t>24,000</w:t>
            </w:r>
          </w:p>
        </w:tc>
        <w:tc>
          <w:tcPr>
            <w:tcW w:w="2608" w:type="dxa"/>
          </w:tcPr>
          <w:p w14:paraId="7AE26CCA">
            <w:pPr>
              <w:spacing w:before="40" w:after="40" w:line="240" w:lineRule="auto"/>
            </w:pPr>
            <w:r>
              <w:rPr>
                <w:rFonts w:ascii="Arial" w:hAnsi="Arial"/>
                <w:b w:val="0"/>
                <w:sz w:val="20"/>
              </w:rPr>
              <w:t>25,708</w:t>
            </w:r>
          </w:p>
        </w:tc>
      </w:tr>
      <w:tr w14:paraId="238D2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3921F163">
            <w:pPr>
              <w:spacing w:before="40" w:after="40" w:line="240" w:lineRule="auto"/>
            </w:pPr>
            <w:r>
              <w:rPr>
                <w:rFonts w:ascii="Arial" w:hAnsi="Arial"/>
                <w:b w:val="0"/>
                <w:sz w:val="20"/>
              </w:rPr>
              <w:t>Chiller COP</w:t>
            </w:r>
          </w:p>
        </w:tc>
        <w:tc>
          <w:tcPr>
            <w:tcW w:w="2551" w:type="dxa"/>
          </w:tcPr>
          <w:p w14:paraId="27180A8C">
            <w:pPr>
              <w:spacing w:before="40" w:after="40" w:line="240" w:lineRule="auto"/>
            </w:pPr>
            <w:r>
              <w:rPr>
                <w:rFonts w:ascii="Arial" w:hAnsi="Arial"/>
                <w:b w:val="0"/>
                <w:sz w:val="20"/>
              </w:rPr>
              <w:t>5,500</w:t>
            </w:r>
          </w:p>
        </w:tc>
        <w:tc>
          <w:tcPr>
            <w:tcW w:w="2608" w:type="dxa"/>
          </w:tcPr>
          <w:p w14:paraId="6FE04DE2">
            <w:pPr>
              <w:spacing w:before="40" w:after="40" w:line="240" w:lineRule="auto"/>
            </w:pPr>
            <w:r>
              <w:rPr>
                <w:rFonts w:ascii="Arial" w:hAnsi="Arial"/>
                <w:b w:val="0"/>
                <w:sz w:val="20"/>
              </w:rPr>
              <w:t>5,425</w:t>
            </w:r>
          </w:p>
        </w:tc>
      </w:tr>
      <w:tr w14:paraId="03C7B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093B94D0">
            <w:pPr>
              <w:spacing w:before="40" w:after="40" w:line="240" w:lineRule="auto"/>
            </w:pPr>
            <w:r>
              <w:rPr>
                <w:rFonts w:ascii="Arial" w:hAnsi="Arial"/>
                <w:b w:val="0"/>
                <w:sz w:val="20"/>
              </w:rPr>
              <w:t>Kazan verimi</w:t>
            </w:r>
          </w:p>
        </w:tc>
        <w:tc>
          <w:tcPr>
            <w:tcW w:w="2551" w:type="dxa"/>
          </w:tcPr>
          <w:p w14:paraId="779B8FB7">
            <w:pPr>
              <w:spacing w:before="40" w:after="40" w:line="240" w:lineRule="auto"/>
            </w:pPr>
            <w:r>
              <w:rPr>
                <w:rFonts w:ascii="Arial" w:hAnsi="Arial"/>
                <w:b w:val="0"/>
                <w:sz w:val="20"/>
              </w:rPr>
              <w:t>0,900</w:t>
            </w:r>
          </w:p>
        </w:tc>
        <w:tc>
          <w:tcPr>
            <w:tcW w:w="2608" w:type="dxa"/>
          </w:tcPr>
          <w:p w14:paraId="6C04EE4F">
            <w:pPr>
              <w:spacing w:before="40" w:after="40" w:line="240" w:lineRule="auto"/>
            </w:pPr>
            <w:r>
              <w:rPr>
                <w:rFonts w:ascii="Arial" w:hAnsi="Arial"/>
                <w:b w:val="0"/>
                <w:sz w:val="20"/>
              </w:rPr>
              <w:t>0,900</w:t>
            </w:r>
          </w:p>
        </w:tc>
      </w:tr>
      <w:tr w14:paraId="2B357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4C53876B">
            <w:pPr>
              <w:spacing w:before="40" w:after="40" w:line="240" w:lineRule="auto"/>
            </w:pPr>
            <w:r>
              <w:rPr>
                <w:rFonts w:ascii="Arial" w:hAnsi="Arial"/>
                <w:b w:val="0"/>
                <w:sz w:val="20"/>
              </w:rPr>
              <w:t>Aydınlatma – ofis, salon, atölye</w:t>
            </w:r>
          </w:p>
        </w:tc>
        <w:tc>
          <w:tcPr>
            <w:tcW w:w="2551" w:type="dxa"/>
          </w:tcPr>
          <w:p w14:paraId="21919454">
            <w:pPr>
              <w:spacing w:before="40" w:after="40" w:line="240" w:lineRule="auto"/>
            </w:pPr>
            <w:r>
              <w:rPr>
                <w:rFonts w:ascii="Arial" w:hAnsi="Arial"/>
                <w:b w:val="0"/>
                <w:sz w:val="20"/>
              </w:rPr>
              <w:t>7,000</w:t>
            </w:r>
          </w:p>
        </w:tc>
        <w:tc>
          <w:tcPr>
            <w:tcW w:w="2608" w:type="dxa"/>
          </w:tcPr>
          <w:p w14:paraId="0C29B1ED">
            <w:pPr>
              <w:spacing w:before="40" w:after="40" w:line="240" w:lineRule="auto"/>
            </w:pPr>
            <w:r>
              <w:rPr>
                <w:rFonts w:ascii="Arial" w:hAnsi="Arial"/>
                <w:b w:val="0"/>
                <w:sz w:val="20"/>
              </w:rPr>
              <w:t>7,034</w:t>
            </w:r>
          </w:p>
        </w:tc>
      </w:tr>
      <w:tr w14:paraId="4B91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58AC0411">
            <w:pPr>
              <w:spacing w:before="40" w:after="40" w:line="240" w:lineRule="auto"/>
            </w:pPr>
            <w:r>
              <w:rPr>
                <w:rFonts w:ascii="Arial" w:hAnsi="Arial"/>
                <w:b w:val="0"/>
                <w:sz w:val="20"/>
              </w:rPr>
              <w:t>Aydınlatma – koridor, merdiven, WC</w:t>
            </w:r>
          </w:p>
        </w:tc>
        <w:tc>
          <w:tcPr>
            <w:tcW w:w="2551" w:type="dxa"/>
          </w:tcPr>
          <w:p w14:paraId="1CB58182">
            <w:pPr>
              <w:spacing w:before="40" w:after="40" w:line="240" w:lineRule="auto"/>
            </w:pPr>
            <w:r>
              <w:rPr>
                <w:rFonts w:ascii="Arial" w:hAnsi="Arial"/>
                <w:b w:val="0"/>
                <w:sz w:val="20"/>
              </w:rPr>
              <w:t>3,000</w:t>
            </w:r>
          </w:p>
        </w:tc>
        <w:tc>
          <w:tcPr>
            <w:tcW w:w="2608" w:type="dxa"/>
          </w:tcPr>
          <w:p w14:paraId="1AAE1BFA">
            <w:pPr>
              <w:spacing w:before="40" w:after="40" w:line="240" w:lineRule="auto"/>
            </w:pPr>
            <w:r>
              <w:rPr>
                <w:rFonts w:ascii="Arial" w:hAnsi="Arial"/>
                <w:b w:val="0"/>
                <w:sz w:val="20"/>
              </w:rPr>
              <w:t>3,085</w:t>
            </w:r>
          </w:p>
        </w:tc>
      </w:tr>
      <w:tr w14:paraId="1DE9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5E615708">
            <w:pPr>
              <w:spacing w:before="40" w:after="40" w:line="240" w:lineRule="auto"/>
            </w:pPr>
            <w:r>
              <w:rPr>
                <w:rFonts w:ascii="Arial" w:hAnsi="Arial"/>
                <w:b w:val="0"/>
                <w:sz w:val="20"/>
              </w:rPr>
              <w:t>Sızdırmazlık çarpanı</w:t>
            </w:r>
          </w:p>
        </w:tc>
        <w:tc>
          <w:tcPr>
            <w:tcW w:w="2551" w:type="dxa"/>
          </w:tcPr>
          <w:p w14:paraId="7582CD66">
            <w:pPr>
              <w:spacing w:before="40" w:after="40" w:line="240" w:lineRule="auto"/>
            </w:pPr>
            <w:r>
              <w:rPr>
                <w:rFonts w:ascii="Arial" w:hAnsi="Arial"/>
                <w:b w:val="0"/>
                <w:sz w:val="20"/>
              </w:rPr>
              <w:t>1,000</w:t>
            </w:r>
          </w:p>
        </w:tc>
        <w:tc>
          <w:tcPr>
            <w:tcW w:w="2608" w:type="dxa"/>
          </w:tcPr>
          <w:p w14:paraId="41B1BD8E">
            <w:pPr>
              <w:spacing w:before="40" w:after="40" w:line="240" w:lineRule="auto"/>
            </w:pPr>
            <w:r>
              <w:rPr>
                <w:rFonts w:ascii="Arial" w:hAnsi="Arial"/>
                <w:b w:val="0"/>
                <w:sz w:val="20"/>
              </w:rPr>
              <w:t>1,171</w:t>
            </w:r>
          </w:p>
        </w:tc>
      </w:tr>
      <w:tr w14:paraId="1CA3B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20C4A57E">
            <w:pPr>
              <w:spacing w:before="40" w:after="40" w:line="240" w:lineRule="auto"/>
            </w:pPr>
            <w:r>
              <w:rPr>
                <w:rFonts w:ascii="Arial" w:hAnsi="Arial"/>
                <w:b w:val="0"/>
                <w:sz w:val="20"/>
              </w:rPr>
              <w:t>Asansör motoru gücü</w:t>
            </w:r>
          </w:p>
        </w:tc>
        <w:tc>
          <w:tcPr>
            <w:tcW w:w="2551" w:type="dxa"/>
          </w:tcPr>
          <w:p w14:paraId="50F9B93E">
            <w:pPr>
              <w:spacing w:before="40" w:after="40" w:line="240" w:lineRule="auto"/>
            </w:pPr>
            <w:r>
              <w:rPr>
                <w:rFonts w:ascii="Arial" w:hAnsi="Arial"/>
                <w:b w:val="0"/>
                <w:sz w:val="20"/>
              </w:rPr>
              <w:t>5.000,000</w:t>
            </w:r>
          </w:p>
        </w:tc>
        <w:tc>
          <w:tcPr>
            <w:tcW w:w="2608" w:type="dxa"/>
          </w:tcPr>
          <w:p w14:paraId="1FC3F200">
            <w:pPr>
              <w:spacing w:before="40" w:after="40" w:line="240" w:lineRule="auto"/>
            </w:pPr>
            <w:r>
              <w:rPr>
                <w:rFonts w:ascii="Arial" w:hAnsi="Arial"/>
                <w:b w:val="0"/>
                <w:sz w:val="20"/>
              </w:rPr>
              <w:t>559,185</w:t>
            </w:r>
          </w:p>
        </w:tc>
      </w:tr>
      <w:tr w14:paraId="5B76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2650DF0">
            <w:pPr>
              <w:spacing w:before="40" w:after="40" w:line="240" w:lineRule="auto"/>
            </w:pPr>
            <w:r>
              <w:rPr>
                <w:rFonts w:ascii="Arial" w:hAnsi="Arial"/>
                <w:b w:val="0"/>
                <w:sz w:val="20"/>
              </w:rPr>
              <w:t>EPS kalınlığı</w:t>
            </w:r>
          </w:p>
        </w:tc>
        <w:tc>
          <w:tcPr>
            <w:tcW w:w="2551" w:type="dxa"/>
          </w:tcPr>
          <w:p w14:paraId="6F21513D">
            <w:pPr>
              <w:spacing w:before="40" w:after="40" w:line="240" w:lineRule="auto"/>
            </w:pPr>
            <w:r>
              <w:rPr>
                <w:rFonts w:ascii="Arial" w:hAnsi="Arial"/>
                <w:b w:val="0"/>
                <w:sz w:val="20"/>
              </w:rPr>
              <w:t>5,000</w:t>
            </w:r>
          </w:p>
        </w:tc>
        <w:tc>
          <w:tcPr>
            <w:tcW w:w="2608" w:type="dxa"/>
          </w:tcPr>
          <w:p w14:paraId="15ED872B">
            <w:pPr>
              <w:spacing w:before="40" w:after="40" w:line="240" w:lineRule="auto"/>
            </w:pPr>
            <w:r>
              <w:rPr>
                <w:rFonts w:ascii="Arial" w:hAnsi="Arial"/>
                <w:b w:val="0"/>
                <w:sz w:val="20"/>
              </w:rPr>
              <w:t>3,712</w:t>
            </w:r>
          </w:p>
        </w:tc>
      </w:tr>
      <w:tr w14:paraId="70C5E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28" w:type="dxa"/>
          </w:tcPr>
          <w:p w14:paraId="64852692">
            <w:pPr>
              <w:spacing w:before="40" w:after="40" w:line="240" w:lineRule="auto"/>
            </w:pPr>
            <w:r>
              <w:rPr>
                <w:rFonts w:ascii="Arial" w:hAnsi="Arial"/>
                <w:b w:val="0"/>
                <w:sz w:val="20"/>
              </w:rPr>
              <w:t>EPS ısıl iletkenliği</w:t>
            </w:r>
          </w:p>
        </w:tc>
        <w:tc>
          <w:tcPr>
            <w:tcW w:w="2551" w:type="dxa"/>
          </w:tcPr>
          <w:p w14:paraId="7269DE5C">
            <w:pPr>
              <w:spacing w:before="40" w:after="40" w:line="240" w:lineRule="auto"/>
            </w:pPr>
            <w:r>
              <w:rPr>
                <w:rFonts w:ascii="Arial" w:hAnsi="Arial"/>
                <w:b w:val="0"/>
                <w:sz w:val="20"/>
              </w:rPr>
              <w:t>0,039</w:t>
            </w:r>
          </w:p>
        </w:tc>
        <w:tc>
          <w:tcPr>
            <w:tcW w:w="2608" w:type="dxa"/>
          </w:tcPr>
          <w:p w14:paraId="27D07688">
            <w:pPr>
              <w:spacing w:before="40" w:after="40" w:line="240" w:lineRule="auto"/>
            </w:pPr>
            <w:r>
              <w:rPr>
                <w:rFonts w:ascii="Arial" w:hAnsi="Arial"/>
                <w:b w:val="0"/>
                <w:sz w:val="20"/>
              </w:rPr>
              <w:t>0,018</w:t>
            </w:r>
          </w:p>
        </w:tc>
      </w:tr>
    </w:tbl>
    <w:p w14:paraId="3E3D9410">
      <w:pPr>
        <w:jc w:val="both"/>
      </w:pPr>
      <w:r>
        <w:rPr>
          <w:rFonts w:ascii="Arial" w:hAnsi="Arial"/>
          <w:sz w:val="22"/>
        </w:rPr>
        <w:t>Tabloda dikkat çeken nokta, önerilen çözümün EPS kalınlığını taban çizgisinin altına indirmesidir. Bu, duyarlılık analizinin sonucuyla tutarlıdır: yalıtım kalınlığı enerji üzerinde ölçülebilir bir etki üretmediği için optimizasyon, söz konusu kalemi maliyet açısından azaltmaktadır.</w:t>
      </w:r>
    </w:p>
    <w:p w14:paraId="0B49BE06">
      <w:pPr>
        <w:pStyle w:val="3"/>
        <w:jc w:val="left"/>
      </w:pPr>
      <w:bookmarkStart w:id="69" w:name="_Toc27750"/>
      <w:r>
        <w:rPr>
          <w:rFonts w:ascii="Arial" w:hAnsi="Arial"/>
          <w:b/>
          <w:sz w:val="22"/>
        </w:rPr>
        <w:t>Ek B. Yazılım ve Veri Erişilebilirliği</w:t>
      </w:r>
      <w:bookmarkEnd w:id="69"/>
    </w:p>
    <w:p w14:paraId="0F214CAC">
      <w:pPr>
        <w:jc w:val="both"/>
      </w:pPr>
      <w:r>
        <w:rPr>
          <w:rFonts w:ascii="Arial" w:hAnsi="Arial"/>
          <w:sz w:val="22"/>
        </w:rPr>
        <w:t>Çalışmada kullanılan tüm kod, üretilen ara çıktılar ve rapor dosyaları sürüm kontrolü altındadır. Simülasyon motoru olarak OpenStudio 3.11.0 ve bununla gelen EnergyPlus sürümü kullanılmıştır. Vekil model kurulumunda scikit-learn, çok amaçlı optimizasyonda pymoo kütüphaneleri kullanılmıştır. Analiz adımlarının her biri ayrı bir komut satırı betiği olarak yürütülebilir durumdadır.</w:t>
      </w:r>
    </w:p>
    <w:p w14:paraId="1B5B977B">
      <w:pPr>
        <w:spacing w:before="120" w:after="120" w:line="240" w:lineRule="auto"/>
        <w:jc w:val="left"/>
      </w:pPr>
      <w:r>
        <w:rPr>
          <w:rFonts w:ascii="Arial" w:hAnsi="Arial"/>
          <w:sz w:val="20"/>
        </w:rPr>
        <w:t>Tablo B.1. Analiz adımları ve karşılık gelen betikler</w:t>
      </w:r>
      <w:bookmarkStart w:id="70" w:name="_Toc6764"/>
      <w:r>
        <w:rPr>
          <w:vanish/>
        </w:rPr>
        <w:fldChar w:fldCharType="begin"/>
      </w:r>
      <w:r>
        <w:rPr>
          <w:vanish/>
        </w:rPr>
        <w:instrText xml:space="preserve"> TC "Tablo B.1. Analiz adımları ve karşılık gelen betikler" \f t </w:instrText>
      </w:r>
      <w:r>
        <w:rPr>
          <w:vanish/>
        </w:rPr>
        <w:fldChar w:fldCharType="end"/>
      </w:r>
      <w:bookmarkEnd w:id="70"/>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4"/>
        <w:gridCol w:w="3061"/>
        <w:gridCol w:w="3231"/>
      </w:tblGrid>
      <w:tr w14:paraId="20EA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0C8976C1">
            <w:pPr>
              <w:spacing w:before="40" w:after="40" w:line="240" w:lineRule="auto"/>
            </w:pPr>
            <w:r>
              <w:rPr>
                <w:rFonts w:ascii="Arial" w:hAnsi="Arial"/>
                <w:b/>
                <w:sz w:val="20"/>
              </w:rPr>
              <w:t>Adım</w:t>
            </w:r>
          </w:p>
        </w:tc>
        <w:tc>
          <w:tcPr>
            <w:tcW w:w="3061" w:type="dxa"/>
          </w:tcPr>
          <w:p w14:paraId="3E1B1A7F">
            <w:pPr>
              <w:spacing w:before="40" w:after="40" w:line="240" w:lineRule="auto"/>
            </w:pPr>
            <w:r>
              <w:rPr>
                <w:rFonts w:ascii="Arial" w:hAnsi="Arial"/>
                <w:b/>
                <w:sz w:val="20"/>
              </w:rPr>
              <w:t>Betik</w:t>
            </w:r>
          </w:p>
        </w:tc>
        <w:tc>
          <w:tcPr>
            <w:tcW w:w="3231" w:type="dxa"/>
          </w:tcPr>
          <w:p w14:paraId="3201A15B">
            <w:pPr>
              <w:spacing w:before="40" w:after="40" w:line="240" w:lineRule="auto"/>
            </w:pPr>
            <w:r>
              <w:rPr>
                <w:rFonts w:ascii="Arial" w:hAnsi="Arial"/>
                <w:b/>
                <w:sz w:val="20"/>
              </w:rPr>
              <w:t>Üretilen çıktı</w:t>
            </w:r>
          </w:p>
        </w:tc>
      </w:tr>
      <w:tr w14:paraId="71A9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47502CF8">
            <w:pPr>
              <w:spacing w:before="40" w:after="40" w:line="240" w:lineRule="auto"/>
            </w:pPr>
            <w:r>
              <w:rPr>
                <w:rFonts w:ascii="Arial" w:hAnsi="Arial"/>
                <w:b w:val="0"/>
                <w:sz w:val="20"/>
              </w:rPr>
              <w:t>Model onarımı</w:t>
            </w:r>
          </w:p>
        </w:tc>
        <w:tc>
          <w:tcPr>
            <w:tcW w:w="3061" w:type="dxa"/>
          </w:tcPr>
          <w:p w14:paraId="6C083FD9">
            <w:pPr>
              <w:spacing w:before="40" w:after="40" w:line="240" w:lineRule="auto"/>
            </w:pPr>
            <w:r>
              <w:rPr>
                <w:rFonts w:ascii="Arial" w:hAnsi="Arial"/>
                <w:b w:val="0"/>
                <w:sz w:val="20"/>
              </w:rPr>
              <w:t>model_repair_worker.py</w:t>
            </w:r>
          </w:p>
        </w:tc>
        <w:tc>
          <w:tcPr>
            <w:tcW w:w="3231" w:type="dxa"/>
          </w:tcPr>
          <w:p w14:paraId="771C12F1">
            <w:pPr>
              <w:spacing w:before="40" w:after="40" w:line="240" w:lineRule="auto"/>
            </w:pPr>
            <w:r>
              <w:rPr>
                <w:rFonts w:ascii="Arial" w:hAnsi="Arial"/>
                <w:b w:val="0"/>
                <w:sz w:val="20"/>
              </w:rPr>
              <w:t>onarilmis model, onarim raporu</w:t>
            </w:r>
          </w:p>
        </w:tc>
      </w:tr>
      <w:tr w14:paraId="51792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51B4061E">
            <w:pPr>
              <w:spacing w:before="40" w:after="40" w:line="240" w:lineRule="auto"/>
            </w:pPr>
            <w:r>
              <w:rPr>
                <w:rFonts w:ascii="Arial" w:hAnsi="Arial"/>
                <w:b w:val="0"/>
                <w:sz w:val="20"/>
              </w:rPr>
              <w:t>Parametrik koşu</w:t>
            </w:r>
          </w:p>
        </w:tc>
        <w:tc>
          <w:tcPr>
            <w:tcW w:w="3061" w:type="dxa"/>
          </w:tcPr>
          <w:p w14:paraId="69E721D2">
            <w:pPr>
              <w:spacing w:before="40" w:after="40" w:line="240" w:lineRule="auto"/>
            </w:pPr>
            <w:r>
              <w:rPr>
                <w:rFonts w:ascii="Arial" w:hAnsi="Arial"/>
                <w:b w:val="0"/>
                <w:sz w:val="20"/>
              </w:rPr>
              <w:t>run_parametric_study.py</w:t>
            </w:r>
          </w:p>
        </w:tc>
        <w:tc>
          <w:tcPr>
            <w:tcW w:w="3231" w:type="dxa"/>
          </w:tcPr>
          <w:p w14:paraId="2EDDB141">
            <w:pPr>
              <w:spacing w:before="40" w:after="40" w:line="240" w:lineRule="auto"/>
            </w:pPr>
            <w:r>
              <w:rPr>
                <w:rFonts w:ascii="Arial" w:hAnsi="Arial"/>
                <w:b w:val="0"/>
                <w:sz w:val="20"/>
              </w:rPr>
              <w:t>tasarım matrisi, sonuç tablosu</w:t>
            </w:r>
          </w:p>
        </w:tc>
      </w:tr>
      <w:tr w14:paraId="4822C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3DF6480B">
            <w:pPr>
              <w:spacing w:before="40" w:after="40" w:line="240" w:lineRule="auto"/>
            </w:pPr>
            <w:r>
              <w:rPr>
                <w:rFonts w:ascii="Arial" w:hAnsi="Arial"/>
                <w:b w:val="0"/>
                <w:sz w:val="20"/>
              </w:rPr>
              <w:t>Vekil model ve duyarlılık</w:t>
            </w:r>
          </w:p>
        </w:tc>
        <w:tc>
          <w:tcPr>
            <w:tcW w:w="3061" w:type="dxa"/>
          </w:tcPr>
          <w:p w14:paraId="3FF59714">
            <w:pPr>
              <w:spacing w:before="40" w:after="40" w:line="240" w:lineRule="auto"/>
            </w:pPr>
            <w:r>
              <w:rPr>
                <w:rFonts w:ascii="Arial" w:hAnsi="Arial"/>
                <w:b w:val="0"/>
                <w:sz w:val="20"/>
              </w:rPr>
              <w:t>run_surrogate.py</w:t>
            </w:r>
          </w:p>
        </w:tc>
        <w:tc>
          <w:tcPr>
            <w:tcW w:w="3231" w:type="dxa"/>
          </w:tcPr>
          <w:p w14:paraId="637589D4">
            <w:pPr>
              <w:spacing w:before="40" w:after="40" w:line="240" w:lineRule="auto"/>
            </w:pPr>
            <w:r>
              <w:rPr>
                <w:rFonts w:ascii="Arial" w:hAnsi="Arial"/>
                <w:b w:val="0"/>
                <w:sz w:val="20"/>
              </w:rPr>
              <w:t>surrogate_report.json</w:t>
            </w:r>
          </w:p>
        </w:tc>
      </w:tr>
      <w:tr w14:paraId="0C372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2F5A6B74">
            <w:pPr>
              <w:spacing w:before="40" w:after="40" w:line="240" w:lineRule="auto"/>
            </w:pPr>
            <w:r>
              <w:rPr>
                <w:rFonts w:ascii="Arial" w:hAnsi="Arial"/>
                <w:b w:val="0"/>
                <w:sz w:val="20"/>
              </w:rPr>
              <w:t>ISO 50001 raporu</w:t>
            </w:r>
          </w:p>
        </w:tc>
        <w:tc>
          <w:tcPr>
            <w:tcW w:w="3061" w:type="dxa"/>
          </w:tcPr>
          <w:p w14:paraId="2A0A8213">
            <w:pPr>
              <w:spacing w:before="40" w:after="40" w:line="240" w:lineRule="auto"/>
            </w:pPr>
            <w:r>
              <w:rPr>
                <w:rFonts w:ascii="Arial" w:hAnsi="Arial"/>
                <w:b w:val="0"/>
                <w:sz w:val="20"/>
              </w:rPr>
              <w:t>build_iso50001_report.py</w:t>
            </w:r>
          </w:p>
        </w:tc>
        <w:tc>
          <w:tcPr>
            <w:tcW w:w="3231" w:type="dxa"/>
          </w:tcPr>
          <w:p w14:paraId="269EF4A9">
            <w:pPr>
              <w:spacing w:before="40" w:after="40" w:line="240" w:lineRule="auto"/>
            </w:pPr>
            <w:r>
              <w:rPr>
                <w:rFonts w:ascii="Arial" w:hAnsi="Arial"/>
                <w:b w:val="0"/>
                <w:sz w:val="20"/>
              </w:rPr>
              <w:t>iso50001_report.json</w:t>
            </w:r>
          </w:p>
        </w:tc>
      </w:tr>
      <w:tr w14:paraId="20E97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5FD425C">
            <w:pPr>
              <w:spacing w:before="40" w:after="40" w:line="240" w:lineRule="auto"/>
            </w:pPr>
            <w:r>
              <w:rPr>
                <w:rFonts w:ascii="Arial" w:hAnsi="Arial"/>
                <w:b w:val="0"/>
                <w:sz w:val="20"/>
              </w:rPr>
              <w:t>Çok amaçlı optimizasyon</w:t>
            </w:r>
          </w:p>
        </w:tc>
        <w:tc>
          <w:tcPr>
            <w:tcW w:w="3061" w:type="dxa"/>
          </w:tcPr>
          <w:p w14:paraId="6F6036D2">
            <w:pPr>
              <w:spacing w:before="40" w:after="40" w:line="240" w:lineRule="auto"/>
            </w:pPr>
            <w:r>
              <w:rPr>
                <w:rFonts w:ascii="Arial" w:hAnsi="Arial"/>
                <w:b w:val="0"/>
                <w:sz w:val="20"/>
              </w:rPr>
              <w:t>run_optimization.py</w:t>
            </w:r>
          </w:p>
        </w:tc>
        <w:tc>
          <w:tcPr>
            <w:tcW w:w="3231" w:type="dxa"/>
          </w:tcPr>
          <w:p w14:paraId="5DEDA09C">
            <w:pPr>
              <w:spacing w:before="40" w:after="40" w:line="240" w:lineRule="auto"/>
            </w:pPr>
            <w:r>
              <w:rPr>
                <w:rFonts w:ascii="Arial" w:hAnsi="Arial"/>
                <w:b w:val="0"/>
                <w:sz w:val="20"/>
              </w:rPr>
              <w:t>pareto_front.json</w:t>
            </w:r>
          </w:p>
        </w:tc>
      </w:tr>
      <w:tr w14:paraId="3B46F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502122B8">
            <w:pPr>
              <w:spacing w:before="40" w:after="40" w:line="240" w:lineRule="auto"/>
            </w:pPr>
            <w:r>
              <w:rPr>
                <w:rFonts w:ascii="Arial" w:hAnsi="Arial"/>
                <w:b w:val="0"/>
                <w:sz w:val="20"/>
              </w:rPr>
              <w:t>Sayısal doğrulama</w:t>
            </w:r>
          </w:p>
        </w:tc>
        <w:tc>
          <w:tcPr>
            <w:tcW w:w="3061" w:type="dxa"/>
          </w:tcPr>
          <w:p w14:paraId="028B0F1B">
            <w:pPr>
              <w:spacing w:before="40" w:after="40" w:line="240" w:lineRule="auto"/>
            </w:pPr>
            <w:r>
              <w:rPr>
                <w:rFonts w:ascii="Arial" w:hAnsi="Arial"/>
                <w:b w:val="0"/>
                <w:sz w:val="20"/>
              </w:rPr>
              <w:t>run_validation.py</w:t>
            </w:r>
          </w:p>
        </w:tc>
        <w:tc>
          <w:tcPr>
            <w:tcW w:w="3231" w:type="dxa"/>
          </w:tcPr>
          <w:p w14:paraId="4CFDC08A">
            <w:pPr>
              <w:spacing w:before="40" w:after="40" w:line="240" w:lineRule="auto"/>
            </w:pPr>
            <w:r>
              <w:rPr>
                <w:rFonts w:ascii="Arial" w:hAnsi="Arial"/>
                <w:b w:val="0"/>
                <w:sz w:val="20"/>
              </w:rPr>
              <w:t>validation_report.json</w:t>
            </w:r>
          </w:p>
        </w:tc>
      </w:tr>
      <w:tr w14:paraId="7E5E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94" w:type="dxa"/>
          </w:tcPr>
          <w:p w14:paraId="6B979BAD">
            <w:pPr>
              <w:spacing w:before="40" w:after="40" w:line="240" w:lineRule="auto"/>
            </w:pPr>
            <w:r>
              <w:rPr>
                <w:rFonts w:ascii="Arial" w:hAnsi="Arial"/>
                <w:b w:val="0"/>
                <w:sz w:val="20"/>
              </w:rPr>
              <w:t>Rapor şekilleri ve metni</w:t>
            </w:r>
          </w:p>
        </w:tc>
        <w:tc>
          <w:tcPr>
            <w:tcW w:w="3061" w:type="dxa"/>
          </w:tcPr>
          <w:p w14:paraId="6F5792B7">
            <w:pPr>
              <w:spacing w:before="40" w:after="40" w:line="240" w:lineRule="auto"/>
            </w:pPr>
            <w:r>
              <w:rPr>
                <w:rFonts w:ascii="Arial" w:hAnsi="Arial"/>
                <w:b w:val="0"/>
                <w:sz w:val="20"/>
              </w:rPr>
              <w:t>reporting/sonuc_raporu.py</w:t>
            </w:r>
          </w:p>
        </w:tc>
        <w:tc>
          <w:tcPr>
            <w:tcW w:w="3231" w:type="dxa"/>
          </w:tcPr>
          <w:p w14:paraId="50F631FC">
            <w:pPr>
              <w:spacing w:before="40" w:after="40" w:line="240" w:lineRule="auto"/>
            </w:pPr>
            <w:r>
              <w:rPr>
                <w:rFonts w:ascii="Arial" w:hAnsi="Arial"/>
                <w:b w:val="0"/>
                <w:sz w:val="20"/>
              </w:rPr>
              <w:t>bu rapor</w:t>
            </w:r>
          </w:p>
        </w:tc>
      </w:tr>
    </w:tbl>
    <w:p w14:paraId="61F6E52E">
      <w:pPr>
        <w:jc w:val="both"/>
      </w:pPr>
      <w:r>
        <w:rPr>
          <w:rFonts w:ascii="Arial" w:hAnsi="Arial"/>
          <w:sz w:val="22"/>
        </w:rPr>
        <w:t>Çok amaçlı optimizasyon adımı varsayılan argümanlarla değil, 120 nesil ve 80 bireylik popülasyonla; belirsizlik ceza katsayısı 0,5 alınarak koşulmuştur. Bu ayarlar üretilen cephe dosyasına kaydedilir; varsayılan argümanlarla koşulan bir komut farklı bir cephe üretir ve doğrulama raporuyla uyuşmaz.</w:t>
      </w:r>
    </w:p>
    <w:p w14:paraId="5B40DE69">
      <w:pPr>
        <w:jc w:val="both"/>
      </w:pPr>
      <w:r>
        <w:rPr>
          <w:rFonts w:ascii="Arial" w:hAnsi="Arial"/>
          <w:sz w:val="22"/>
        </w:rPr>
        <w:t>Adımlar birbirine bağımlıdır ve sırayla koşulmalıdır: vekil model, optimizasyon, doğrulama. Doğrulama belirli bir cepheden seçilen noktalara aittir; cephe yeniden üretilirse doğrulama da yenilenmelidir.</w:t>
      </w:r>
    </w:p>
    <w:p w14:paraId="37C19CB1">
      <w:pPr>
        <w:jc w:val="both"/>
      </w:pPr>
      <w:r>
        <w:rPr>
          <w:rFonts w:ascii="Arial" w:hAnsi="Arial"/>
          <w:sz w:val="22"/>
        </w:rPr>
        <w:t>Raporun tüm sayısal değerleri, yukarıdaki betiklerin ürettiği JSON dosyalarından okunarak yerleştirilmektedir; metinde elle yazılmış sonuç değeri bulunmamaktadır. Analiz yeniden koşulduğunda rapor da yeniden üretilmelidir.</w:t>
      </w:r>
    </w:p>
    <w:p w14:paraId="50076DF9">
      <w:pPr>
        <w:pStyle w:val="3"/>
        <w:jc w:val="left"/>
      </w:pPr>
      <w:bookmarkStart w:id="71" w:name="_Toc17064"/>
      <w:r>
        <w:rPr>
          <w:rFonts w:ascii="Arial" w:hAnsi="Arial"/>
          <w:b/>
          <w:sz w:val="22"/>
        </w:rPr>
        <w:t>Ek C. Varsayımlar ve Doğrulanması Gereken Girdiler</w:t>
      </w:r>
      <w:bookmarkEnd w:id="71"/>
    </w:p>
    <w:p w14:paraId="3978DE9D">
      <w:pPr>
        <w:jc w:val="both"/>
      </w:pPr>
      <w:r>
        <w:rPr>
          <w:rFonts w:ascii="Arial" w:hAnsi="Arial"/>
          <w:sz w:val="22"/>
        </w:rPr>
        <w:t>Aşağıdaki girdiler ölçüme değil kabule dayanmaktadır ve raporun sonuçları yorumlanırken göz önünde bulundurulmalıdır.</w:t>
      </w:r>
    </w:p>
    <w:p w14:paraId="1228F735">
      <w:pPr>
        <w:spacing w:before="120" w:after="120" w:line="240" w:lineRule="auto"/>
        <w:jc w:val="left"/>
      </w:pPr>
      <w:r>
        <w:rPr>
          <w:rFonts w:ascii="Arial" w:hAnsi="Arial"/>
          <w:sz w:val="20"/>
        </w:rPr>
        <w:t>Tablo C.1. Varsayıma dayalı girdiler</w:t>
      </w:r>
      <w:bookmarkStart w:id="72" w:name="_Toc23123"/>
      <w:r>
        <w:rPr>
          <w:vanish/>
        </w:rPr>
        <w:fldChar w:fldCharType="begin"/>
      </w:r>
      <w:r>
        <w:rPr>
          <w:vanish/>
        </w:rPr>
        <w:instrText xml:space="preserve"> TC "Tablo C.1. Varsayıma dayalı girdiler" \f t </w:instrText>
      </w:r>
      <w:r>
        <w:rPr>
          <w:vanish/>
        </w:rPr>
        <w:fldChar w:fldCharType="end"/>
      </w:r>
      <w:bookmarkEnd w:id="72"/>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3515"/>
        <w:gridCol w:w="3005"/>
      </w:tblGrid>
      <w:tr w14:paraId="6B67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71625A3">
            <w:pPr>
              <w:spacing w:before="40" w:after="40" w:line="240" w:lineRule="auto"/>
            </w:pPr>
            <w:r>
              <w:rPr>
                <w:rFonts w:ascii="Arial" w:hAnsi="Arial"/>
                <w:b/>
                <w:sz w:val="20"/>
              </w:rPr>
              <w:t>Girdi</w:t>
            </w:r>
          </w:p>
        </w:tc>
        <w:tc>
          <w:tcPr>
            <w:tcW w:w="3515" w:type="dxa"/>
          </w:tcPr>
          <w:p w14:paraId="5069FD22">
            <w:pPr>
              <w:spacing w:before="40" w:after="40" w:line="240" w:lineRule="auto"/>
            </w:pPr>
            <w:r>
              <w:rPr>
                <w:rFonts w:ascii="Arial" w:hAnsi="Arial"/>
                <w:b/>
                <w:sz w:val="20"/>
              </w:rPr>
              <w:t>Kabul</w:t>
            </w:r>
          </w:p>
        </w:tc>
        <w:tc>
          <w:tcPr>
            <w:tcW w:w="3005" w:type="dxa"/>
          </w:tcPr>
          <w:p w14:paraId="3EFBB7F5">
            <w:pPr>
              <w:spacing w:before="40" w:after="40" w:line="240" w:lineRule="auto"/>
            </w:pPr>
            <w:r>
              <w:rPr>
                <w:rFonts w:ascii="Arial" w:hAnsi="Arial"/>
                <w:b/>
                <w:sz w:val="20"/>
              </w:rPr>
              <w:t>Etkilediği sonuç</w:t>
            </w:r>
          </w:p>
        </w:tc>
      </w:tr>
      <w:tr w14:paraId="1A0C5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1C161096">
            <w:pPr>
              <w:spacing w:before="40" w:after="40" w:line="240" w:lineRule="auto"/>
            </w:pPr>
            <w:r>
              <w:rPr>
                <w:rFonts w:ascii="Arial" w:hAnsi="Arial"/>
                <w:b w:val="0"/>
                <w:sz w:val="20"/>
              </w:rPr>
              <w:t>Enerji taban çizgisi</w:t>
            </w:r>
          </w:p>
        </w:tc>
        <w:tc>
          <w:tcPr>
            <w:tcW w:w="3515" w:type="dxa"/>
          </w:tcPr>
          <w:p w14:paraId="789AF11B">
            <w:pPr>
              <w:spacing w:before="40" w:after="40" w:line="240" w:lineRule="auto"/>
            </w:pPr>
            <w:r>
              <w:rPr>
                <w:rFonts w:ascii="Arial" w:hAnsi="Arial"/>
                <w:b w:val="0"/>
                <w:sz w:val="20"/>
              </w:rPr>
              <w:t>Simülasyon kaynaklı, faturaya kalibre değil</w:t>
            </w:r>
          </w:p>
        </w:tc>
        <w:tc>
          <w:tcPr>
            <w:tcW w:w="3005" w:type="dxa"/>
          </w:tcPr>
          <w:p w14:paraId="151DA950">
            <w:pPr>
              <w:spacing w:before="40" w:after="40" w:line="240" w:lineRule="auto"/>
            </w:pPr>
            <w:r>
              <w:rPr>
                <w:rFonts w:ascii="Arial" w:hAnsi="Arial"/>
                <w:b w:val="0"/>
                <w:sz w:val="20"/>
              </w:rPr>
              <w:t>Mutlak tüketim değerleri</w:t>
            </w:r>
          </w:p>
        </w:tc>
      </w:tr>
      <w:tr w14:paraId="32FA8C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473DDD8E">
            <w:pPr>
              <w:spacing w:before="40" w:after="40" w:line="240" w:lineRule="auto"/>
            </w:pPr>
            <w:r>
              <w:rPr>
                <w:rFonts w:ascii="Arial" w:hAnsi="Arial"/>
                <w:b w:val="0"/>
                <w:sz w:val="20"/>
              </w:rPr>
              <w:t>Yatırım birim fiyatları</w:t>
            </w:r>
          </w:p>
        </w:tc>
        <w:tc>
          <w:tcPr>
            <w:tcW w:w="3515" w:type="dxa"/>
          </w:tcPr>
          <w:p w14:paraId="70E79859">
            <w:pPr>
              <w:spacing w:before="40" w:after="40" w:line="240" w:lineRule="auto"/>
            </w:pPr>
            <w:r>
              <w:rPr>
                <w:rFonts w:ascii="Arial" w:hAnsi="Arial"/>
                <w:b w:val="0"/>
                <w:sz w:val="20"/>
              </w:rPr>
              <w:t>Piyasa araştırmasına dayanmayan kabul</w:t>
            </w:r>
          </w:p>
        </w:tc>
        <w:tc>
          <w:tcPr>
            <w:tcW w:w="3005" w:type="dxa"/>
          </w:tcPr>
          <w:p w14:paraId="0716310A">
            <w:pPr>
              <w:spacing w:before="40" w:after="40" w:line="240" w:lineRule="auto"/>
            </w:pPr>
            <w:r>
              <w:rPr>
                <w:rFonts w:ascii="Arial" w:hAnsi="Arial"/>
                <w:b w:val="0"/>
                <w:sz w:val="20"/>
              </w:rPr>
              <w:t>Pareto cephesinin maliyet ekseni</w:t>
            </w:r>
          </w:p>
        </w:tc>
      </w:tr>
      <w:tr w14:paraId="408B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3C195E35">
            <w:pPr>
              <w:spacing w:before="40" w:after="40" w:line="240" w:lineRule="auto"/>
            </w:pPr>
            <w:r>
              <w:rPr>
                <w:rFonts w:ascii="Arial" w:hAnsi="Arial"/>
                <w:b w:val="0"/>
                <w:sz w:val="20"/>
              </w:rPr>
              <w:t>TS 825 iklim bölgesi</w:t>
            </w:r>
          </w:p>
        </w:tc>
        <w:tc>
          <w:tcPr>
            <w:tcW w:w="3515" w:type="dxa"/>
          </w:tcPr>
          <w:p w14:paraId="21D469BF">
            <w:pPr>
              <w:spacing w:before="40" w:after="40" w:line="240" w:lineRule="auto"/>
            </w:pPr>
            <w:r>
              <w:rPr>
                <w:rFonts w:ascii="Arial" w:hAnsi="Arial"/>
                <w:b w:val="0"/>
                <w:sz w:val="20"/>
              </w:rPr>
              <w:t>Üçüncü bölge kabulü</w:t>
            </w:r>
          </w:p>
        </w:tc>
        <w:tc>
          <w:tcPr>
            <w:tcW w:w="3005" w:type="dxa"/>
          </w:tcPr>
          <w:p w14:paraId="06273ECF">
            <w:pPr>
              <w:spacing w:before="40" w:after="40" w:line="240" w:lineRule="auto"/>
            </w:pPr>
            <w:r>
              <w:rPr>
                <w:rFonts w:ascii="Arial" w:hAnsi="Arial"/>
                <w:b w:val="0"/>
                <w:sz w:val="20"/>
              </w:rPr>
              <w:t>Duvar ve cam ısı geçirgenlik kısıtları</w:t>
            </w:r>
          </w:p>
        </w:tc>
      </w:tr>
      <w:tr w14:paraId="79859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9FD292F">
            <w:pPr>
              <w:spacing w:before="40" w:after="40" w:line="240" w:lineRule="auto"/>
            </w:pPr>
            <w:r>
              <w:rPr>
                <w:rFonts w:ascii="Arial" w:hAnsi="Arial"/>
                <w:b w:val="0"/>
                <w:sz w:val="20"/>
              </w:rPr>
              <w:t>TS 825 sürümü</w:t>
            </w:r>
          </w:p>
        </w:tc>
        <w:tc>
          <w:tcPr>
            <w:tcW w:w="3515" w:type="dxa"/>
          </w:tcPr>
          <w:p w14:paraId="1337FCC5">
            <w:pPr>
              <w:spacing w:before="40" w:after="40" w:line="240" w:lineRule="auto"/>
            </w:pPr>
            <w:r>
              <w:rPr>
                <w:rFonts w:ascii="Arial" w:hAnsi="Arial"/>
                <w:b w:val="0"/>
                <w:sz w:val="20"/>
              </w:rPr>
              <w:t>Önceki sürüm (EK 1-C); Ekim 2024 revizyonu uygulanmadı</w:t>
            </w:r>
          </w:p>
        </w:tc>
        <w:tc>
          <w:tcPr>
            <w:tcW w:w="3005" w:type="dxa"/>
          </w:tcPr>
          <w:p w14:paraId="4F6A3CEF">
            <w:pPr>
              <w:spacing w:before="40" w:after="40" w:line="240" w:lineRule="auto"/>
            </w:pPr>
            <w:r>
              <w:rPr>
                <w:rFonts w:ascii="Arial" w:hAnsi="Arial"/>
                <w:b w:val="0"/>
                <w:sz w:val="20"/>
              </w:rPr>
              <w:t>Kabuk uygunluk değerlendirmesi</w:t>
            </w:r>
          </w:p>
        </w:tc>
      </w:tr>
      <w:tr w14:paraId="6BB2E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06C1B5B6">
            <w:pPr>
              <w:spacing w:before="40" w:after="40" w:line="240" w:lineRule="auto"/>
            </w:pPr>
            <w:r>
              <w:rPr>
                <w:rFonts w:ascii="Arial" w:hAnsi="Arial"/>
                <w:b w:val="0"/>
                <w:sz w:val="20"/>
              </w:rPr>
              <w:t>Bina kullanıcı sayısı</w:t>
            </w:r>
          </w:p>
        </w:tc>
        <w:tc>
          <w:tcPr>
            <w:tcW w:w="3515" w:type="dxa"/>
          </w:tcPr>
          <w:p w14:paraId="5C096381">
            <w:pPr>
              <w:spacing w:before="40" w:after="40" w:line="240" w:lineRule="auto"/>
            </w:pPr>
            <w:r>
              <w:rPr>
                <w:rFonts w:ascii="Arial" w:hAnsi="Arial"/>
                <w:b w:val="0"/>
                <w:sz w:val="20"/>
              </w:rPr>
              <w:t>Model içindeki kullanım yoğunluğundan türetildi</w:t>
            </w:r>
          </w:p>
        </w:tc>
        <w:tc>
          <w:tcPr>
            <w:tcW w:w="3005" w:type="dxa"/>
          </w:tcPr>
          <w:p w14:paraId="5F6555CE">
            <w:pPr>
              <w:spacing w:before="40" w:after="40" w:line="240" w:lineRule="auto"/>
            </w:pPr>
            <w:r>
              <w:rPr>
                <w:rFonts w:ascii="Arial" w:hAnsi="Arial"/>
                <w:b w:val="0"/>
                <w:sz w:val="20"/>
              </w:rPr>
              <w:t>Kişi başına enerji göstergesi</w:t>
            </w:r>
          </w:p>
        </w:tc>
      </w:tr>
      <w:tr w14:paraId="5D96B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8" w:type="dxa"/>
          </w:tcPr>
          <w:p w14:paraId="2A721A37">
            <w:pPr>
              <w:spacing w:before="40" w:after="40" w:line="240" w:lineRule="auto"/>
            </w:pPr>
            <w:r>
              <w:rPr>
                <w:rFonts w:ascii="Arial" w:hAnsi="Arial"/>
                <w:b w:val="0"/>
                <w:sz w:val="20"/>
              </w:rPr>
              <w:t>Asansör motor gücü</w:t>
            </w:r>
          </w:p>
        </w:tc>
        <w:tc>
          <w:tcPr>
            <w:tcW w:w="3515" w:type="dxa"/>
          </w:tcPr>
          <w:p w14:paraId="4C32E4B6">
            <w:pPr>
              <w:spacing w:before="40" w:after="40" w:line="240" w:lineRule="auto"/>
            </w:pPr>
            <w:r>
              <w:rPr>
                <w:rFonts w:ascii="Arial" w:hAnsi="Arial"/>
                <w:b w:val="0"/>
                <w:sz w:val="20"/>
              </w:rPr>
              <w:t>Onarım sırasında tek mekâna bağlandı</w:t>
            </w:r>
          </w:p>
        </w:tc>
        <w:tc>
          <w:tcPr>
            <w:tcW w:w="3005" w:type="dxa"/>
          </w:tcPr>
          <w:p w14:paraId="7CD7AB0E">
            <w:pPr>
              <w:spacing w:before="40" w:after="40" w:line="240" w:lineRule="auto"/>
            </w:pPr>
            <w:r>
              <w:rPr>
                <w:rFonts w:ascii="Arial" w:hAnsi="Arial"/>
                <w:b w:val="0"/>
                <w:sz w:val="20"/>
              </w:rPr>
              <w:t>İç ekipman enerjisi</w:t>
            </w:r>
          </w:p>
        </w:tc>
      </w:tr>
    </w:tbl>
    <w:p w14:paraId="036F03A3"/>
    <w:sectPr>
      <w:footerReference r:id="rId12" w:type="default"/>
      <w:pgSz w:w="12240" w:h="15840"/>
      <w:pgMar w:top="1701" w:right="1417" w:bottom="1417" w:left="1417"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1B99C0">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7748E">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37EA73">
    <w:pPr>
      <w:pStyle w:val="1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79C6C6">
    <w:pPr>
      <w:pStyle w:val="18"/>
      <w:jc w:val="center"/>
    </w:pPr>
    <w:r>
      <w:rPr>
        <w:rFonts w:ascii="Arial" w:hAnsi="Arial"/>
        <w:sz w:val="22"/>
      </w:rPr>
      <w:fldChar w:fldCharType="begin"/>
    </w:r>
    <w:r>
      <w:rPr>
        <w:rFonts w:ascii="Arial" w:hAnsi="Arial"/>
        <w:sz w:val="22"/>
      </w:rPr>
      <w:instrText xml:space="preserve">PAGE  \* MERGEFORMAT</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600FF6">
    <w:pPr>
      <w:pStyle w:val="18"/>
      <w:jc w:val="center"/>
    </w:pPr>
    <w:r>
      <w:rPr>
        <w:rFonts w:ascii="Arial" w:hAnsi="Arial"/>
        <w:sz w:val="22"/>
      </w:rPr>
      <w:fldChar w:fldCharType="begin"/>
    </w:r>
    <w:r>
      <w:rPr>
        <w:rFonts w:ascii="Arial" w:hAnsi="Arial"/>
        <w:sz w:val="22"/>
      </w:rPr>
      <w:instrText xml:space="preserve">PAGE  \* MERGEFORMAT</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AC73E">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46717">
    <w:pPr>
      <w:pStyle w:val="1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C7B83">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DC5325"/>
    <w:rsid w:val="42027A4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Arial" w:hAnsi="Arial" w:eastAsia="Arial" w:cstheme="minorBidi"/>
      <w:sz w:val="22"/>
      <w:szCs w:val="22"/>
      <w:lang w:val="en-US" w:eastAsia="en-US" w:bidi="ar-SA"/>
    </w:rPr>
  </w:style>
  <w:style w:type="paragraph" w:styleId="2">
    <w:name w:val="heading 1"/>
    <w:basedOn w:val="1"/>
    <w:next w:val="1"/>
    <w:link w:val="140"/>
    <w:qFormat/>
    <w:uiPriority w:val="9"/>
    <w:pPr>
      <w:keepNext/>
      <w:keepLines/>
      <w:spacing w:before="480" w:after="240" w:line="360" w:lineRule="auto"/>
      <w:outlineLvl w:val="0"/>
    </w:pPr>
    <w:rPr>
      <w:rFonts w:asciiTheme="majorHAnsi" w:hAnsiTheme="majorHAnsi" w:eastAsiaTheme="majorEastAsia" w:cstheme="majorBidi"/>
      <w:b/>
      <w:bCs/>
      <w:sz w:val="22"/>
      <w:szCs w:val="28"/>
    </w:rPr>
  </w:style>
  <w:style w:type="paragraph" w:styleId="3">
    <w:name w:val="heading 2"/>
    <w:basedOn w:val="1"/>
    <w:next w:val="1"/>
    <w:link w:val="141"/>
    <w:unhideWhenUsed/>
    <w:qFormat/>
    <w:uiPriority w:val="9"/>
    <w:pPr>
      <w:keepNext/>
      <w:keepLines/>
      <w:spacing w:before="480" w:after="240" w:line="360" w:lineRule="auto"/>
      <w:outlineLvl w:val="1"/>
    </w:pPr>
    <w:rPr>
      <w:rFonts w:asciiTheme="majorHAnsi" w:hAnsiTheme="majorHAnsi" w:eastAsiaTheme="majorEastAsia" w:cstheme="majorBidi"/>
      <w:b/>
      <w:bCs/>
      <w:sz w:val="22"/>
      <w:szCs w:val="26"/>
    </w:rPr>
  </w:style>
  <w:style w:type="paragraph" w:styleId="4">
    <w:name w:val="heading 3"/>
    <w:basedOn w:val="1"/>
    <w:next w:val="1"/>
    <w:link w:val="142"/>
    <w:unhideWhenUsed/>
    <w:qFormat/>
    <w:uiPriority w:val="9"/>
    <w:pPr>
      <w:keepNext/>
      <w:keepLines/>
      <w:spacing w:before="480" w:after="240" w:line="360" w:lineRule="auto"/>
      <w:outlineLvl w:val="2"/>
    </w:pPr>
    <w:rPr>
      <w:rFonts w:asciiTheme="majorHAnsi" w:hAnsiTheme="majorHAnsi" w:eastAsiaTheme="majorEastAsia" w:cstheme="majorBidi"/>
      <w:b/>
      <w:bCs/>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gizem</cp:lastModifiedBy>
  <dcterms:modified xsi:type="dcterms:W3CDTF">2026-08-28T18:29:43Z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5CA5E2DE8C67426A805B82A17F9B1EFC_12</vt:lpwstr>
  </property>
</Properties>
</file>