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Multimodal Crash-Risk Prediction with a Dual-Encoder Cross-Attention Transformer: Evidence from a Sector-Balanced U.S. Equity Universe</w:t>
      </w:r>
    </w:p>
    <w:p>
      <w:pPr>
        <w:spacing w:after="100"/>
        <w:jc w:val="center"/>
      </w:pPr>
      <w:r>
        <w:rPr>
          <w:i/>
          <w:iCs/>
          <w:color w:val="555555"/>
          <w:sz w:val="24"/>
          <w:szCs w:val="24"/>
        </w:rPr>
        <w:t xml:space="preserve">Draft — Chapters 1–4</w:t>
      </w:r>
    </w:p>
    <w:p>
      <w:pPr>
        <w:spacing w:after="500"/>
        <w:jc w:val="center"/>
      </w:pPr>
      <w:r>
        <w:rPr>
          <w:i/>
          <w:iCs/>
          <w:color w:val="555555"/>
          <w:sz w:val="22"/>
          <w:szCs w:val="22"/>
        </w:rPr>
        <w:t xml:space="preserve">Master's Thesis – TUM MMDT</w:t>
      </w:r>
    </w:p>
    <w:p>
      <w:pPr>
        <w:pStyle w:val="Heading1"/>
        <w:spacing w:after="240" w:before="480"/>
      </w:pPr>
      <w:r>
        <w:rPr>
          <w:b/>
          <w:bCs/>
        </w:rPr>
        <w:t xml:space="preserve">List of Abbreviations</w:t>
      </w:r>
    </w:p>
    <w:p>
      <w:pPr>
        <w:spacing w:after="100"/>
        <w:ind w:left="360" w:hanging="360"/>
      </w:pPr>
      <w:r>
        <w:rPr>
          <w:b/>
          <w:bCs/>
          <w:sz w:val="22"/>
          <w:szCs w:val="22"/>
        </w:rPr>
        <w:t xml:space="preserve">ADX  —  </w:t>
      </w:r>
      <w:r>
        <w:rPr>
          <w:sz w:val="22"/>
          <w:szCs w:val="22"/>
        </w:rPr>
        <w:t xml:space="preserve">Average Directional Index</w:t>
      </w:r>
    </w:p>
    <w:p>
      <w:pPr>
        <w:spacing w:after="100"/>
        <w:ind w:left="360" w:hanging="360"/>
      </w:pPr>
      <w:r>
        <w:rPr>
          <w:b/>
          <w:bCs/>
          <w:sz w:val="22"/>
          <w:szCs w:val="22"/>
        </w:rPr>
        <w:t xml:space="preserve">ATR  —  </w:t>
      </w:r>
      <w:r>
        <w:rPr>
          <w:sz w:val="22"/>
          <w:szCs w:val="22"/>
        </w:rPr>
        <w:t xml:space="preserve">Average True Range</w:t>
      </w:r>
    </w:p>
    <w:p>
      <w:pPr>
        <w:spacing w:after="100"/>
        <w:ind w:left="360" w:hanging="360"/>
      </w:pPr>
      <w:r>
        <w:rPr>
          <w:b/>
          <w:bCs/>
          <w:sz w:val="22"/>
          <w:szCs w:val="22"/>
        </w:rPr>
        <w:t xml:space="preserve">BB  —  </w:t>
      </w:r>
      <w:r>
        <w:rPr>
          <w:sz w:val="22"/>
          <w:szCs w:val="22"/>
        </w:rPr>
        <w:t xml:space="preserve">Bollinger Bands</w:t>
      </w:r>
    </w:p>
    <w:p>
      <w:pPr>
        <w:spacing w:after="100"/>
        <w:ind w:left="360" w:hanging="360"/>
      </w:pPr>
      <w:r>
        <w:rPr>
          <w:b/>
          <w:bCs/>
          <w:sz w:val="22"/>
          <w:szCs w:val="22"/>
        </w:rPr>
        <w:t xml:space="preserve">CCI  —  </w:t>
      </w:r>
      <w:r>
        <w:rPr>
          <w:sz w:val="22"/>
          <w:szCs w:val="22"/>
        </w:rPr>
        <w:t xml:space="preserve">Commodity Channel Index</w:t>
      </w:r>
    </w:p>
    <w:p>
      <w:pPr>
        <w:spacing w:after="100"/>
        <w:ind w:left="360" w:hanging="360"/>
      </w:pPr>
      <w:r>
        <w:rPr>
          <w:b/>
          <w:bCs/>
          <w:sz w:val="22"/>
          <w:szCs w:val="22"/>
        </w:rPr>
        <w:t xml:space="preserve">CLS  —  </w:t>
      </w:r>
      <w:r>
        <w:rPr>
          <w:sz w:val="22"/>
          <w:szCs w:val="22"/>
        </w:rPr>
        <w:t xml:space="preserve">Classification token (Transformer pooling token)</w:t>
      </w:r>
    </w:p>
    <w:p>
      <w:pPr>
        <w:spacing w:after="100"/>
        <w:ind w:left="360" w:hanging="360"/>
      </w:pPr>
      <w:r>
        <w:rPr>
          <w:b/>
          <w:bCs/>
          <w:sz w:val="22"/>
          <w:szCs w:val="22"/>
        </w:rPr>
        <w:t xml:space="preserve">CRSP  —  </w:t>
      </w:r>
      <w:r>
        <w:rPr>
          <w:sz w:val="22"/>
          <w:szCs w:val="22"/>
        </w:rPr>
        <w:t xml:space="preserve">Center for Research in Security Prices</w:t>
      </w:r>
    </w:p>
    <w:p>
      <w:pPr>
        <w:spacing w:after="100"/>
        <w:ind w:left="360" w:hanging="360"/>
      </w:pPr>
      <w:r>
        <w:rPr>
          <w:b/>
          <w:bCs/>
          <w:sz w:val="22"/>
          <w:szCs w:val="22"/>
        </w:rPr>
        <w:t xml:space="preserve">FMDD  —  </w:t>
      </w:r>
      <w:r>
        <w:rPr>
          <w:sz w:val="22"/>
          <w:szCs w:val="22"/>
        </w:rPr>
        <w:t xml:space="preserve">Forward Maximum Drawdown</w:t>
      </w:r>
    </w:p>
    <w:p>
      <w:pPr>
        <w:spacing w:after="100"/>
        <w:ind w:left="360" w:hanging="360"/>
      </w:pPr>
      <w:r>
        <w:rPr>
          <w:b/>
          <w:bCs/>
          <w:sz w:val="22"/>
          <w:szCs w:val="22"/>
        </w:rPr>
        <w:t xml:space="preserve">GAT  —  </w:t>
      </w:r>
      <w:r>
        <w:rPr>
          <w:sz w:val="22"/>
          <w:szCs w:val="22"/>
        </w:rPr>
        <w:t xml:space="preserve">Graph Attention Network</w:t>
      </w:r>
    </w:p>
    <w:p>
      <w:pPr>
        <w:spacing w:after="100"/>
        <w:ind w:left="360" w:hanging="360"/>
      </w:pPr>
      <w:r>
        <w:rPr>
          <w:b/>
          <w:bCs/>
          <w:sz w:val="22"/>
          <w:szCs w:val="22"/>
        </w:rPr>
        <w:t xml:space="preserve">MACD  —  </w:t>
      </w:r>
      <w:r>
        <w:rPr>
          <w:sz w:val="22"/>
          <w:szCs w:val="22"/>
        </w:rPr>
        <w:t xml:space="preserve">Moving Average Convergence Divergence</w:t>
      </w:r>
    </w:p>
    <w:p>
      <w:pPr>
        <w:spacing w:after="100"/>
        <w:ind w:left="360" w:hanging="360"/>
      </w:pPr>
      <w:r>
        <w:rPr>
          <w:b/>
          <w:bCs/>
          <w:sz w:val="22"/>
          <w:szCs w:val="22"/>
        </w:rPr>
        <w:t xml:space="preserve">MCC  —  </w:t>
      </w:r>
      <w:r>
        <w:rPr>
          <w:sz w:val="22"/>
          <w:szCs w:val="22"/>
        </w:rPr>
        <w:t xml:space="preserve">Matthews Correlation Coefficient</w:t>
      </w:r>
    </w:p>
    <w:p>
      <w:pPr>
        <w:spacing w:after="100"/>
        <w:ind w:left="360" w:hanging="360"/>
      </w:pPr>
      <w:r>
        <w:rPr>
          <w:b/>
          <w:bCs/>
          <w:sz w:val="22"/>
          <w:szCs w:val="22"/>
        </w:rPr>
        <w:t xml:space="preserve">MFI  —  </w:t>
      </w:r>
      <w:r>
        <w:rPr>
          <w:sz w:val="22"/>
          <w:szCs w:val="22"/>
        </w:rPr>
        <w:t xml:space="preserve">Money Flow Index</w:t>
      </w:r>
    </w:p>
    <w:p>
      <w:pPr>
        <w:spacing w:after="100"/>
        <w:ind w:left="360" w:hanging="360"/>
      </w:pPr>
      <w:r>
        <w:rPr>
          <w:b/>
          <w:bCs/>
          <w:sz w:val="22"/>
          <w:szCs w:val="22"/>
        </w:rPr>
        <w:t xml:space="preserve">ML  —  </w:t>
      </w:r>
      <w:r>
        <w:rPr>
          <w:sz w:val="22"/>
          <w:szCs w:val="22"/>
        </w:rPr>
        <w:t xml:space="preserve">Machine Learning</w:t>
      </w:r>
    </w:p>
    <w:p>
      <w:pPr>
        <w:spacing w:after="100"/>
        <w:ind w:left="360" w:hanging="360"/>
      </w:pPr>
      <w:r>
        <w:rPr>
          <w:b/>
          <w:bCs/>
          <w:sz w:val="22"/>
          <w:szCs w:val="22"/>
        </w:rPr>
        <w:t xml:space="preserve">MSGCA  —  </w:t>
      </w:r>
      <w:r>
        <w:rPr>
          <w:sz w:val="22"/>
          <w:szCs w:val="22"/>
        </w:rPr>
        <w:t xml:space="preserve">Multi-Source Gated Cross-Attention</w:t>
      </w:r>
    </w:p>
    <w:p>
      <w:pPr>
        <w:spacing w:after="100"/>
        <w:ind w:left="360" w:hanging="360"/>
      </w:pPr>
      <w:r>
        <w:rPr>
          <w:b/>
          <w:bCs/>
          <w:sz w:val="22"/>
          <w:szCs w:val="22"/>
        </w:rPr>
        <w:t xml:space="preserve">OBV  —  </w:t>
      </w:r>
      <w:r>
        <w:rPr>
          <w:sz w:val="22"/>
          <w:szCs w:val="22"/>
        </w:rPr>
        <w:t xml:space="preserve">On-Balance Volume</w:t>
      </w:r>
    </w:p>
    <w:p>
      <w:pPr>
        <w:spacing w:after="100"/>
        <w:ind w:left="360" w:hanging="360"/>
      </w:pPr>
      <w:r>
        <w:rPr>
          <w:b/>
          <w:bCs/>
          <w:sz w:val="22"/>
          <w:szCs w:val="22"/>
        </w:rPr>
        <w:t xml:space="preserve">PR-AUC  —  </w:t>
      </w:r>
      <w:r>
        <w:rPr>
          <w:sz w:val="22"/>
          <w:szCs w:val="22"/>
        </w:rPr>
        <w:t xml:space="preserve">Area Under the Precision–Recall Curve (Average Precision)</w:t>
      </w:r>
    </w:p>
    <w:p>
      <w:pPr>
        <w:spacing w:after="100"/>
        <w:ind w:left="360" w:hanging="360"/>
      </w:pPr>
      <w:r>
        <w:rPr>
          <w:b/>
          <w:bCs/>
          <w:sz w:val="22"/>
          <w:szCs w:val="22"/>
        </w:rPr>
        <w:t xml:space="preserve">ROC-AUC  —  </w:t>
      </w:r>
      <w:r>
        <w:rPr>
          <w:sz w:val="22"/>
          <w:szCs w:val="22"/>
        </w:rPr>
        <w:t xml:space="preserve">Area Under the Receiver Operating Characteristic Curve</w:t>
      </w:r>
    </w:p>
    <w:p>
      <w:pPr>
        <w:spacing w:after="100"/>
        <w:ind w:left="360" w:hanging="360"/>
      </w:pPr>
      <w:r>
        <w:rPr>
          <w:b/>
          <w:bCs/>
          <w:sz w:val="22"/>
          <w:szCs w:val="22"/>
        </w:rPr>
        <w:t xml:space="preserve">RSI  —  </w:t>
      </w:r>
      <w:r>
        <w:rPr>
          <w:sz w:val="22"/>
          <w:szCs w:val="22"/>
        </w:rPr>
        <w:t xml:space="preserve">Relative Strength Index</w:t>
      </w:r>
    </w:p>
    <w:p>
      <w:pPr>
        <w:spacing w:after="100"/>
        <w:ind w:left="360" w:hanging="360"/>
      </w:pPr>
      <w:r>
        <w:rPr>
          <w:b/>
          <w:bCs/>
          <w:sz w:val="22"/>
          <w:szCs w:val="22"/>
        </w:rPr>
        <w:t xml:space="preserve">SHAP  —  </w:t>
      </w:r>
      <w:r>
        <w:rPr>
          <w:sz w:val="22"/>
          <w:szCs w:val="22"/>
        </w:rPr>
        <w:t xml:space="preserve">SHapley Additive exPlanations</w:t>
      </w:r>
    </w:p>
    <w:p>
      <w:pPr>
        <w:spacing w:after="100"/>
        <w:ind w:left="360" w:hanging="360"/>
      </w:pPr>
      <w:r>
        <w:rPr>
          <w:b/>
          <w:bCs/>
          <w:sz w:val="22"/>
          <w:szCs w:val="22"/>
        </w:rPr>
        <w:t xml:space="preserve">SIC  —  </w:t>
      </w:r>
      <w:r>
        <w:rPr>
          <w:sz w:val="22"/>
          <w:szCs w:val="22"/>
        </w:rPr>
        <w:t xml:space="preserve">Standard Industrial Classification</w:t>
      </w:r>
    </w:p>
    <w:p>
      <w:pPr>
        <w:spacing w:after="100"/>
        <w:ind w:left="360" w:hanging="360"/>
      </w:pPr>
      <w:r>
        <w:rPr>
          <w:b/>
          <w:bCs/>
          <w:sz w:val="22"/>
          <w:szCs w:val="22"/>
        </w:rPr>
        <w:t xml:space="preserve">SMOTE  —  </w:t>
      </w:r>
      <w:r>
        <w:rPr>
          <w:sz w:val="22"/>
          <w:szCs w:val="22"/>
        </w:rPr>
        <w:t xml:space="preserve">Synthetic Minority Over-sampling Technique</w:t>
      </w:r>
    </w:p>
    <w:p>
      <w:pPr>
        <w:spacing w:after="100"/>
        <w:ind w:left="360" w:hanging="360"/>
      </w:pPr>
      <w:r>
        <w:rPr>
          <w:b/>
          <w:bCs/>
          <w:sz w:val="22"/>
          <w:szCs w:val="22"/>
        </w:rPr>
        <w:t xml:space="preserve">VIX  —  </w:t>
      </w:r>
      <w:r>
        <w:rPr>
          <w:sz w:val="22"/>
          <w:szCs w:val="22"/>
        </w:rPr>
        <w:t xml:space="preserve">CBOE Volatility Index</w:t>
      </w:r>
    </w:p>
    <w:p>
      <w:pPr>
        <w:spacing w:after="100"/>
        <w:ind w:left="360" w:hanging="360"/>
      </w:pPr>
      <w:r>
        <w:rPr>
          <w:b/>
          <w:bCs/>
          <w:sz w:val="22"/>
          <w:szCs w:val="22"/>
        </w:rPr>
        <w:t xml:space="preserve">WRDS  —  </w:t>
      </w:r>
      <w:r>
        <w:rPr>
          <w:sz w:val="22"/>
          <w:szCs w:val="22"/>
        </w:rPr>
        <w:t xml:space="preserve">Wharton Research Data Services</w:t>
      </w:r>
    </w:p>
    <w:p>
      <w:pPr>
        <w:pStyle w:val="Heading1"/>
        <w:spacing w:after="240" w:before="480"/>
      </w:pPr>
      <w:r>
        <w:rPr>
          <w:b/>
          <w:bCs/>
        </w:rPr>
        <w:t xml:space="preserve">1. Introduction</w:t>
      </w:r>
    </w:p>
    <w:p>
      <w:pPr>
        <w:pStyle w:val="Heading2"/>
        <w:spacing w:after="160" w:before="320"/>
      </w:pPr>
      <w:r>
        <w:rPr>
          <w:b/>
          <w:bCs/>
        </w:rPr>
        <w:t xml:space="preserve">1.1 Motivation</w:t>
      </w:r>
    </w:p>
    <w:p>
      <w:pPr>
        <w:spacing w:after="200" w:line="360"/>
        <w:jc w:val="both"/>
      </w:pPr>
      <w:r>
        <w:rPr>
          <w:sz w:val="22"/>
          <w:szCs w:val="22"/>
        </w:rPr>
        <w:t xml:space="preserve">Financial markets are prone to episodes of abrupt, large-magnitude price declines that impose substantial costs on investors, financial institutions, and the broader economy. Historical evidence spanning nearly eight centuries shows that severe drawdowns and banking crises recur with remarkable regularity across countries and asset classes, even as the specific triggers differ each time (Reinhart &amp; Rogoff, 2009). Kindleberger and Aliber (2015) describe this recurring pattern as a predictable sequence of displacement, credit expansion, euphoria, distress, and panic that characterizes most historical manias and crashes. From a macro-financial perspective, Minsky (1992) argues that periods of prolonged stability endogenously breed the very fragility that precedes a crisis, an insight often summarized as the “financial instability hypothesis.”</w:t>
      </w:r>
    </w:p>
    <w:p>
      <w:pPr>
        <w:spacing w:after="200" w:line="360"/>
        <w:jc w:val="both"/>
      </w:pPr>
      <w:r>
        <w:rPr>
          <w:sz w:val="22"/>
          <w:szCs w:val="22"/>
        </w:rPr>
        <w:t xml:space="preserve">At the level of individual securities, a large empirical literature has linked crash risk to firm-specific and market microstructure variables such as trading volume, past returns, and return skewness (Chen, Hong, &amp; Stein, 2001). These findings motivate the idea that stock-specific crash risk may be, at least partially, predictable ex ante using observable market and accounting data, rather than being a purely exogenous shock. If such predictability exists, quantitative models could support risk managers, institutional investors, and retail platforms in anticipating episodes of severe price deterioration before they fully materialize, allowing for timely hedging, position sizing, or de-risking decisions.</w:t>
      </w:r>
    </w:p>
    <w:p>
      <w:pPr>
        <w:spacing w:after="200" w:line="360"/>
        <w:jc w:val="both"/>
      </w:pPr>
      <w:r>
        <w:rPr>
          <w:sz w:val="22"/>
          <w:szCs w:val="22"/>
        </w:rPr>
        <w:t xml:space="preserve">The past decade has seen a rapid expansion of machine learning (ML) methods applied to asset pricing and return prediction. Gu, Kelly, and Xiu (2020) show that flexible, nonlinear ML models systematically outperform traditional linear regressions in forecasting the cross-section of stock returns, with tree-based ensembles and neural networks emerging as consistently strong performers. In parallel, the Transformer architecture (Vaswani et al., 2017), originally developed for machine translation, has become the dominant sequence-modeling paradigm across domains because its self-attention mechanism captures long-range dependencies more flexibly than recurrent networks, without the vanishing-gradient issues of long sequences. This has motivated researchers to move beyond single-source return forecasting toward richer, multimodal formulations that combine fast-moving price signals with slower-moving fundamental and macroeconomic information (Zong &amp; Zhou, 2024), and toward the harder problem of predicting discrete, high-impact tail events such as crashes rather than average returns (Chatzis, Siakoulis, Petropoulos, Stavroulakis, &amp; Vlachogiannakis, 2018; Dichtl, Drobetz, &amp; Otto, 2023).</w:t>
      </w:r>
    </w:p>
    <w:p>
      <w:pPr>
        <w:spacing w:after="200" w:line="360"/>
        <w:jc w:val="both"/>
      </w:pPr>
      <w:r>
        <w:rPr>
          <w:sz w:val="22"/>
          <w:szCs w:val="22"/>
        </w:rPr>
        <w:t xml:space="preserve">This thesis situates itself at the intersection of these two streams. It formulates short-horizon, firm-level crash-risk prediction as a supervised sequence classification problem and proposes a dual-encoder Transformer architecture that processes technical (price- and volume-based) and fundamental/macroeconomic signals in two separate attention-based encoders, fused through a learnable cross-attention mechanism. The central empirical question is not only whether machine learning can predict crash risk, but specifically whether explicitly separating fast- and slow-moving information into distinct representations — and letting the model learn, per example, how much to trust each source — improves prediction over both a strong gradient-boosted baseline and simpler, single-stream neural architectures.</w:t>
      </w:r>
    </w:p>
    <w:p>
      <w:pPr>
        <w:spacing w:after="240" w:before="120"/>
        <w:jc w:val="center"/>
      </w:pPr>
      <w:r>
        <w:rPr>
          <w:i/>
          <w:iCs/>
          <w:color w:val="1F5FA8"/>
          <w:sz w:val="21"/>
          <w:szCs w:val="21"/>
        </w:rPr>
        <w:t xml:space="preserve">[Şekil 1.1: Örnek bir hissenin fiyat grafiği üzerinde geçmiş çöküş/kriz dönemlerinin işaretlendiği motivasyon görseli]</w:t>
      </w:r>
    </w:p>
    <w:p>
      <w:pPr>
        <w:pStyle w:val="Heading2"/>
        <w:spacing w:after="160" w:before="320"/>
      </w:pPr>
      <w:r>
        <w:rPr>
          <w:b/>
          <w:bCs/>
        </w:rPr>
        <w:t xml:space="preserve">1.2 Problem Statement</w:t>
      </w:r>
    </w:p>
    <w:p>
      <w:pPr>
        <w:spacing w:after="200" w:line="360"/>
        <w:jc w:val="both"/>
      </w:pPr>
      <w:r>
        <w:rPr>
          <w:sz w:val="22"/>
          <w:szCs w:val="22"/>
        </w:rPr>
        <w:t xml:space="preserve">Despite the growing sophistication of ML-based return forecasting, predicting rare, large-magnitude downside events remains substantially more difficult than predicting average returns. Crash events are, by construction, infrequent, which produces a severe class imbalance problem in any supervised learning formulation (Chawla, Bowyer, Hall, &amp; Kegelmeyer, 2002). In addition, financial time series exhibit autocorrelation, regime shifts, and non-stationarity, which violate the independent and identically distributed (i.i.d.) assumptions underlying many standard machine learning evaluation procedures (Bergmeir &amp; Benítez, 2012). A further complication specific to this thesis's panel setting (many tickers observed over the same calendar dates) is that naïve, row-based cross-validation can leak information across tickers that share a trading date, producing optimistic bias unless folds are constructed at the date level. As a result, a naïve application of off-the-shelf classifiers to raw price data is unlikely to yield models that are both statistically sound and practically useful.</w:t>
      </w:r>
    </w:p>
    <w:p>
      <w:pPr>
        <w:spacing w:after="200" w:line="360"/>
        <w:jc w:val="both"/>
      </w:pPr>
      <w:r>
        <w:rPr>
          <w:sz w:val="22"/>
          <w:szCs w:val="22"/>
        </w:rPr>
        <w:t xml:space="preserve">This thesis addresses the problem of predicting whether a given stock will experience a severe drawdown over the subsequent 20 trading days (approximately one calendar month), where “severe” is defined relative to the stock's own recent volatility rather than as a single fixed percentage across all stocks — a distinction motivated by the observation that a 10% decline may be unremarkable for a high-volatility biotechnology stock but constitutes a genuine crash for a low-volatility utility. This binary target, denoted Target in the underlying panel dataset, is constructed for a rule-based, sector-balanced universe of mid-capitalization U.S. equities drawn from CRSP and Compustat via the Wharton Research Data Services (WRDS) platform, over the period 2010–2024 (see Chapter 3).</w:t>
      </w:r>
    </w:p>
    <w:p>
      <w:pPr>
        <w:spacing w:after="200" w:line="360"/>
        <w:jc w:val="both"/>
      </w:pPr>
      <w:r>
        <w:rPr>
          <w:sz w:val="22"/>
          <w:szCs w:val="22"/>
        </w:rPr>
        <w:t xml:space="preserve">A second, architectural problem statement follows from the data structure itself. The engineered feature set naturally separates into two families with different update frequencies and information content: technical indicators derived purely from daily price and volume (fast-moving, noisy, reactive) and fundamental/macroeconomic indicators derived from quarterly accounting statements and daily market-wide series such as the VIX and Treasury yields (slow-moving, persistent, regime-level). Standard practice concatenates such heterogeneous features into a single flat vector before modeling. This thesis instead asks whether explicitly modeling each family with its own encoder, and learning a data-dependent fusion between them, is a more effective inductive bias for this problem — and, if so, whether the benefit comes merely from allowing cross-modal interaction (cross-attention) or specifically from allowing the model to modulate how much it trusts each modality on a per-example basis (a learnable gate).</w:t>
      </w:r>
    </w:p>
    <w:p>
      <w:pPr>
        <w:spacing w:after="240" w:before="120"/>
        <w:jc w:val="center"/>
      </w:pPr>
      <w:r>
        <w:rPr>
          <w:i/>
          <w:iCs/>
          <w:color w:val="1F5FA8"/>
          <w:sz w:val="21"/>
          <w:szCs w:val="21"/>
        </w:rPr>
        <w:t xml:space="preserve">[Şekil 1.2: Veri setindeki risk/stabil gün oranını gösteren pasta grafiği (dataset_balance.png çıktısı)]</w:t>
      </w:r>
    </w:p>
    <w:p>
      <w:pPr>
        <w:pStyle w:val="Heading2"/>
        <w:spacing w:after="160" w:before="320"/>
      </w:pPr>
      <w:r>
        <w:rPr>
          <w:b/>
          <w:bCs/>
        </w:rPr>
        <w:t xml:space="preserve">1.3 Research Questions and Objectives</w:t>
      </w:r>
    </w:p>
    <w:p>
      <w:pPr>
        <w:spacing w:after="200" w:line="360"/>
        <w:jc w:val="both"/>
      </w:pPr>
      <w:r>
        <w:rPr>
          <w:sz w:val="22"/>
          <w:szCs w:val="22"/>
        </w:rPr>
        <w:t xml:space="preserve">Building on the motivation and problem statement above, this thesis addresses the following research questions:</w:t>
      </w:r>
    </w:p>
    <w:p>
      <w:pPr>
        <w:spacing w:after="100" w:line="340"/>
        <w:ind w:left="420"/>
      </w:pPr>
      <w:r>
        <w:rPr>
          <w:sz w:val="22"/>
          <w:szCs w:val="22"/>
        </w:rPr>
        <w:t xml:space="preserve">•  RQ1. To what extent can supervised machine learning models predict short-term (20-trading-day), volatility-adjusted severe drawdown events in individual equities using historical price-, volume-, fundamental-, and macro-derived features?</w:t>
      </w:r>
    </w:p>
    <w:p>
      <w:pPr>
        <w:spacing w:after="100" w:line="340"/>
        <w:ind w:left="420"/>
      </w:pPr>
      <w:r>
        <w:rPr>
          <w:sz w:val="22"/>
          <w:szCs w:val="22"/>
        </w:rPr>
        <w:t xml:space="preserve">•  RQ2. Does explicitly separating technical and fundamental/macro features into two independent Transformer encoders (a dual-encoder architecture) outperform a single-encoder Transformer that consumes the same features concatenated into one flat sequence?</w:t>
      </w:r>
    </w:p>
    <w:p>
      <w:pPr>
        <w:spacing w:after="100" w:line="340"/>
        <w:ind w:left="420"/>
      </w:pPr>
      <w:r>
        <w:rPr>
          <w:sz w:val="22"/>
          <w:szCs w:val="22"/>
        </w:rPr>
        <w:t xml:space="preserve">•  RQ3. Within the dual-encoder architecture, does allowing dynamic, learned interaction between modalities (cross-attention fusion) outperform static concatenation, and does adding a learnable gate to that interaction (gated cross-attention, following the MSGCA design of Zong &amp; Zhou, 2024) yield a further, seed-robust improvement?</w:t>
      </w:r>
    </w:p>
    <w:p>
      <w:pPr>
        <w:spacing w:after="100" w:line="340"/>
        <w:ind w:left="420"/>
      </w:pPr>
      <w:r>
        <w:rPr>
          <w:sz w:val="22"/>
          <w:szCs w:val="22"/>
        </w:rPr>
        <w:t xml:space="preserve">•  RQ4. How does the proposed dual-encoder Transformer compare against a carefully tuned gradient-boosted tree baseline (XGBoost) that receives the identical feature set in flat form, and does either family generalize consistently from the validation period (2020–2021) to an economically distinct, chronologically later test period (2022–2024)?</w:t>
      </w:r>
    </w:p>
    <w:p>
      <w:pPr>
        <w:spacing w:after="100" w:line="340"/>
        <w:ind w:left="420"/>
      </w:pPr>
      <w:r>
        <w:rPr>
          <w:sz w:val="22"/>
          <w:szCs w:val="22"/>
        </w:rPr>
        <w:t xml:space="preserve">•  RQ5. Which engineered features and modalities contribute most to crash-risk predictions, and are these consistent with the theoretical determinants of crash risk identified in prior literature (e.g., Chen et al., 2001)?</w:t>
      </w:r>
    </w:p>
    <w:p>
      <w:pPr>
        <w:spacing w:after="100" w:line="340"/>
        <w:ind w:left="420"/>
      </w:pPr>
      <w:r>
        <w:rPr>
          <w:sz w:val="22"/>
          <w:szCs w:val="22"/>
        </w:rPr>
        <w:t xml:space="preserve">•  RQ6. How robust are the resulting models to the class imbalance inherent in crash prediction, and which combination of resampling, loss re-weighting, and decision-threshold selection most improves minority-class detection without collapsing to a degenerate “always predict crash” solution?</w:t>
      </w:r>
    </w:p>
    <w:p>
      <w:pPr>
        <w:spacing w:after="200" w:line="360"/>
        <w:jc w:val="both"/>
      </w:pPr>
      <w:r>
        <w:rPr>
          <w:sz w:val="22"/>
          <w:szCs w:val="22"/>
        </w:rPr>
        <w:t xml:space="preserve">Correspondingly, the objectives of this thesis are to: (1) construct and document, in a fully reproducible and look-ahead-safe manner, a labeled panel dataset suitable for crash-risk classification, drawn from CRSP, Compustat, CBOE, and Treasury sources; (2) design and engineer a two-stream feature set — technical and fundamental/macro — grounded in both technical analysis practice and the academic crash-risk literature; (3) implement a gradient-boosted baseline and a family of Transformer-based sequence classifiers, including the proposed dual-encoder cross-attention architecture and its gated variant; (4) train and tune these models under a methodologically sound, panel- and time-aware validation scheme that avoids look-ahead and cross-sectional leakage; and (5) critically evaluate model performance using metrics appropriate for imbalanced classification, including an explicit accounting of the validation-to-test generalization gap and of result variability across random seeds.</w:t>
      </w:r>
    </w:p>
    <w:p>
      <w:pPr>
        <w:pStyle w:val="Heading2"/>
        <w:spacing w:after="160" w:before="320"/>
      </w:pPr>
      <w:r>
        <w:rPr>
          <w:b/>
          <w:bCs/>
        </w:rPr>
        <w:t xml:space="preserve">1.4 Contributions</w:t>
      </w:r>
    </w:p>
    <w:p>
      <w:pPr>
        <w:spacing w:after="200" w:line="360"/>
        <w:jc w:val="both"/>
      </w:pPr>
      <w:r>
        <w:rPr>
          <w:sz w:val="22"/>
          <w:szCs w:val="22"/>
        </w:rPr>
        <w:t xml:space="preserve">This thesis makes four contributions. First, it introduces a volatility-adjusted forward-drawdown label for crash-risk classification that scales the drawdown threshold to each stock's own recent realized volatility, rather than applying a single fixed percentage across a heterogeneous universe (Section 3.4). Second, it constructs a reproducible, survivorship-bias-aware, sector-balanced universe-selection procedure directly on CRSP and Compustat, rather than relying on a hand-picked or index-membership-based ticker list (Section 3.2). Third, it proposes and ablates a dual-encoder Transformer architecture with a three-rung “fusion ladder” (static concatenation, cross-attention, and gated cross-attention), isolating the marginal value of dynamic cross-modal interaction and of a learnable, context-dependent gate, in a setting — daily price technicals paired with quarterly fundamentals and daily macro series — distinct from the news- and graph-based multimodal settings in which such gated fusion mechanisms have previously been studied (Zong &amp; Zhou, 2024). Fourth, it adopts an evaluation protocol suited to severe class imbalance and small-sample instability, selecting decision thresholds by Matthews Correlation Coefficient on validation data only (Matthews, 1975; Chicco &amp; Jurman, 2020), reporting the validation-to-test generalization gap explicitly, and repeating key comparisons across multiple random seeds before drawing architectural conclusions.</w:t>
      </w:r>
    </w:p>
    <w:p>
      <w:pPr>
        <w:pStyle w:val="Heading2"/>
        <w:spacing w:after="160" w:before="320"/>
      </w:pPr>
      <w:r>
        <w:rPr>
          <w:b/>
          <w:bCs/>
        </w:rPr>
        <w:t xml:space="preserve">1.5 Thesis Structure</w:t>
      </w:r>
    </w:p>
    <w:p>
      <w:pPr>
        <w:spacing w:after="200" w:line="360"/>
        <w:jc w:val="both"/>
      </w:pPr>
      <w:r>
        <w:rPr>
          <w:sz w:val="22"/>
          <w:szCs w:val="22"/>
        </w:rPr>
        <w:t xml:space="preserve">The remainder of this thesis is organized as follows. Chapter 2 reviews the theoretical foundations of financial crashes and systemic risk, the determinants of firm-level crash risk, machine learning applications in finance, the Transformer and cross-attention mechanisms underlying the proposed architecture, and the literature on evaluating classifiers under severe class imbalance, before positioning this thesis relative to prior work on crash prediction. Chapter 3 describes the data sources (CRSP, Compustat, CBOE, Treasury), the rule-based universe-selection procedure, the sector classification scheme, the construction of the volatility-adjusted target variable, the preprocessing pipeline, exploratory data analysis, and the resulting class imbalance. Chapter 4 presents the methodology in full: the two-stream feature engineering pipeline, dual-stream sequence construction, class-imbalance handling, the XGBoost baseline with Bayesian hyperparameter optimization, the single- and dual-encoder Transformer architectures, the fusion ladder, the Focal Loss objective, the training and scheduling procedure, decision-threshold selection, evaluation metrics, and the ablation/robustness design. Chapter 5 (not included in this draft) reports the experimental results and compares model performance across the considered algorithms and ablations. Chapter 6 discusses the findings, limitations, and practical implications, and Chapter 7 concludes with a summary of contributions and directions for future research.</w:t>
      </w:r>
    </w:p>
    <w:p>
      <w:pPr>
        <w:pStyle w:val="Heading2"/>
        <w:spacing w:after="160" w:before="320"/>
      </w:pPr>
      <w:r>
        <w:rPr>
          <w:b/>
          <w:bCs/>
        </w:rPr>
        <w:t xml:space="preserve">1.6 Scope and Delimitations</w:t>
      </w:r>
    </w:p>
    <w:p>
      <w:pPr>
        <w:spacing w:after="200" w:line="360"/>
        <w:jc w:val="both"/>
      </w:pPr>
      <w:r>
        <w:rPr>
          <w:sz w:val="22"/>
          <w:szCs w:val="22"/>
        </w:rPr>
        <w:t xml:space="preserve">Several delimitations follow directly from the design choices described above and are stated explicitly to clarify the boundaries of this thesis's claims. First, the equity universe is restricted to U.S.-listed, mid-capitalization common stock in non-financial, non-real-estate sectors (Section 3.2); findings should not be assumed to generalize without further validation to large-cap or micro-cap names, to non-U.S. markets, or to the Financials and Real Estate sectors explicitly excluded from the fundamental-encoder design. Second, the 20-trading-day, volatility-adjusted drawdown label (Section 3.4) is one specific, defensible operationalization of "crash risk" among several plausible alternatives (e.g., a fixed-percentage threshold, a longer or shorter horizon, or a definition anchored to abnormal returns relative to a factor model); results are reported, and should be interpreted, with respect to this specific definition. Third, the thesis's exploratory codebase also contains preliminary, not-fully-integrated extensions — including graph-attention-network variants and a text-sentiment pipeline applying FinBERT to SEC 8-K filings — that are not part of the core dual-encoder architecture evaluated in Chapters 4 and 5; these are noted only in passing (Section 4.15) as directions consistent with, but outside the scope of, the present work. Fourth, all data pass through WRDS-hosted CRSP and Compustat and are therefore subject to those databases' own reporting conventions and revision practices (for example, Compustat's as-originally-reported versus subsequently restated fundamentals), a limitation common to essentially all empirical asset-pricing research using these sources and discussed further in Chapter 6.</w:t>
      </w:r>
    </w:p>
    <w:p>
      <w:pPr>
        <w:pStyle w:val="Heading1"/>
        <w:spacing w:after="240" w:before="480"/>
      </w:pPr>
      <w:r>
        <w:rPr>
          <w:b/>
          <w:bCs/>
        </w:rPr>
        <w:t xml:space="preserve">2. Theoretical Background and Related Work</w:t>
      </w:r>
    </w:p>
    <w:p>
      <w:pPr>
        <w:pStyle w:val="Heading2"/>
        <w:spacing w:after="160" w:before="320"/>
      </w:pPr>
      <w:r>
        <w:rPr>
          <w:b/>
          <w:bCs/>
        </w:rPr>
        <w:t xml:space="preserve">2.1 Financial Market Crashes and Systemic Risk</w:t>
      </w:r>
    </w:p>
    <w:p>
      <w:pPr>
        <w:spacing w:after="200" w:line="360"/>
        <w:jc w:val="both"/>
      </w:pPr>
      <w:r>
        <w:rPr>
          <w:sz w:val="22"/>
          <w:szCs w:val="22"/>
        </w:rPr>
        <w:t xml:space="preserve">Financial crashes have been studied extensively in both economic history and theoretical finance. Kindleberger and Aliber (2015), building on a framework originally proposed by Minsky, characterize financial crises as following a recurring anatomy: a displacement that alters profit expectations, monetary expansion and credit growth, speculative overtrading and euphoria, a distress phase in which insiders begin to take profits, and finally panic and revulsion once debt-financed positions become unsustainable. Minsky's (1992) financial instability hypothesis provides the theoretical microfoundation for this pattern, arguing that stability itself is destabilizing: prolonged periods of low volatility encourage economic agents to take on progressively riskier, more leveraged positions, which increases systemic fragility even as measured risk appears to decline. This idea resonates directly with the design of this thesis's macro feature set (Section 4.3), which explicitly tracks the VIX level and its short-term momentum as proxies for the build-up and release of exactly this kind of latent fragility.</w:t>
      </w:r>
    </w:p>
    <w:p>
      <w:pPr>
        <w:spacing w:after="200" w:line="360"/>
        <w:jc w:val="both"/>
      </w:pPr>
      <w:r>
        <w:rPr>
          <w:sz w:val="22"/>
          <w:szCs w:val="22"/>
        </w:rPr>
        <w:t xml:space="preserve">Reinhart and Rogoff (2009), using a dataset spanning eight centuries and dozens of countries, provide empirical support for the recurrence of these dynamics across sovereign debt crises, banking crises, and asset price bubbles, and caution against the “this-time-is-different syndrome” — the belief that structural changes render an economy immune to the crises that affected prior generations. While these macro-historical accounts focus primarily on systemic, economy-wide crises, this thesis is concerned with a related but distinct phenomenon: idiosyncratic and market-wide crash risk at the level of individual equity prices, which can occur even outside a full systemic crisis, and which is observable at daily frequency for a large cross-section of firms.</w:t>
      </w:r>
    </w:p>
    <w:p>
      <w:pPr>
        <w:pStyle w:val="Heading2"/>
        <w:spacing w:after="160" w:before="320"/>
      </w:pPr>
      <w:r>
        <w:rPr>
          <w:b/>
          <w:bCs/>
        </w:rPr>
        <w:t xml:space="preserve">2.2 Firm-Level Crash Risk: Determinants and Measurement</w:t>
      </w:r>
    </w:p>
    <w:p>
      <w:pPr>
        <w:spacing w:after="200" w:line="360"/>
        <w:jc w:val="both"/>
      </w:pPr>
      <w:r>
        <w:rPr>
          <w:sz w:val="22"/>
          <w:szCs w:val="22"/>
        </w:rPr>
        <w:t xml:space="preserve">At the security level, Chen, Hong, and Stein (2001) provide one of the most cited empirical frameworks for crash-risk prediction, showing that negative return skewness — a statistical proxy for crash propensity — is more pronounced in stocks with a recent increase in trading volume relative to trend and positive returns over the preceding three years. Their explanation draws on a differences-of-opinion mechanism in which short-sale constraints allow pessimistic information to accumulate hidden from prices until it is abruptly released, producing a sudden price drop. This link between observable market variables (volume, past returns, skewness) and future crash probability is central to the technical feature engineering approach adopted in this thesis (Section 4.2), which includes explicit volume-distribution and momentum-divergence features designed to capture exactly this kind of quiet accumulation of downside pressure ahead of a visible price decline.</w:t>
      </w:r>
    </w:p>
    <w:p>
      <w:pPr>
        <w:spacing w:after="200" w:line="360"/>
        <w:jc w:val="both"/>
      </w:pPr>
      <w:r>
        <w:rPr>
          <w:sz w:val="22"/>
          <w:szCs w:val="22"/>
        </w:rPr>
        <w:t xml:space="preserve">A separate but complementary literature emphasizes that firm-level crash risk also has fundamental, accounting-based determinants — leverage, profitability, and liquidity — that interact with market-wide stress. Highly levered firms with thin liquidity buffers are mechanically more exposed to a given shock in financing conditions or investor sentiment, and this exposure is plausibly amplified during periods of elevated market-wide volatility (rising VIX) or tightening credit conditions (a flattening or inverting Treasury yield curve). This motivates the explicit micro–macro interaction features constructed in Section 4.3 (e.g., leverage interacted with VIX changes, liquidity interacted with market trend), which are designed to let the model learn whether a firm's fundamental vulnerability is more or less dangerous depending on the prevailing macro-financial regime, rather than treating firm-level and market-level information as additively separable.</w:t>
      </w:r>
    </w:p>
    <w:p>
      <w:pPr>
        <w:pStyle w:val="Heading2"/>
        <w:spacing w:after="160" w:before="320"/>
      </w:pPr>
      <w:r>
        <w:rPr>
          <w:b/>
          <w:bCs/>
        </w:rPr>
        <w:t xml:space="preserve">2.3 Machine Learning Approaches in Finance</w:t>
      </w:r>
    </w:p>
    <w:p>
      <w:pPr>
        <w:spacing w:after="200" w:line="360"/>
        <w:jc w:val="both"/>
      </w:pPr>
      <w:r>
        <w:rPr>
          <w:sz w:val="22"/>
          <w:szCs w:val="22"/>
        </w:rPr>
        <w:t xml:space="preserve">The application of machine learning to financial prediction problems has expanded considerably over the past decade, driven by increases in computational power, the availability of high-frequency and alternative data, and methodological advances in nonlinear modeling. Gu, Kelly, and Xiu (2020) conduct a comprehensive comparative study of ML methods for empirical asset pricing, benchmarking linear models against regularized regressions, dimension-reduction techniques, tree-based ensembles, and neural networks. They find that tree ensembles and neural networks substantially outperform traditional linear factor models in out-of-sample return prediction, and that most of this outperformance is attributable to the models' ability to capture nonlinear interactions among a relatively parsimonious set of predictors, dominated by liquidity- and volatility-related variables — a finding directly echoed in this thesis's own feature-importance analysis (Section 4.7), where volatility- and macro-momentum-related features dominate the XGBoost baseline's gain-based importances.</w:t>
      </w:r>
    </w:p>
    <w:p>
      <w:pPr>
        <w:spacing w:after="200" w:line="360"/>
        <w:jc w:val="both"/>
      </w:pPr>
      <w:r>
        <w:rPr>
          <w:sz w:val="22"/>
          <w:szCs w:val="22"/>
        </w:rPr>
        <w:t xml:space="preserve">Among tree-based methods, Breiman's (2001) random forest algorithm, which aggregates predictions from an ensemble of decorrelated decision trees trained on bootstrap samples and random feature subsets, remains a widely used baseline due to its robustness to overfitting and its ability to handle high-dimensional, noisy feature sets without extensive preprocessing. Gradient boosting methods, and in particular the XGBoost implementation of Chen and Guestrin (2016), have become a de facto standard in applied ML competitions and financial modeling tasks because of their strong predictive performance, native handling of missing values, and computational scalability. This thesis adopts XGBoost, tuned via Bayesian optimization, as its primary non-neural baseline (Section 4.7), against which the proposed Transformer architectures are benchmarked.</w:t>
      </w:r>
    </w:p>
    <w:p>
      <w:pPr>
        <w:pStyle w:val="Heading2"/>
        <w:spacing w:after="160" w:before="320"/>
      </w:pPr>
      <w:r>
        <w:rPr>
          <w:b/>
          <w:bCs/>
        </w:rPr>
        <w:t xml:space="preserve">2.4 The Transformer Architecture and Attention Mechanisms</w:t>
      </w:r>
    </w:p>
    <w:p>
      <w:pPr>
        <w:spacing w:after="200" w:line="360"/>
        <w:jc w:val="both"/>
      </w:pPr>
      <w:r>
        <w:rPr>
          <w:sz w:val="22"/>
          <w:szCs w:val="22"/>
        </w:rPr>
        <w:t xml:space="preserve">The Transformer architecture of Vaswani et al. (2017) replaced the recurrent and convolutional building blocks previously dominant in sequence modeling with a purely attention-based mechanism. In self-attention, each element of a sequence is represented as a weighted combination of all other elements, with weights (“attention scores”) learned as a function of pairwise similarity between query, key, and value projections of the inputs; multi-head attention runs several such attention computations in parallel subspaces, allowing the model to jointly attend to information from different representation subspaces at different positions. Because attention operates on all pairs of sequence positions directly, rather than propagating information step-by-step as in a recurrent network, Transformers are both more parallelizable during training and better able to capture long-range dependencies. This thesis's sequence encoders (Section 4.8) follow the now-standard practice, popularized by BERT and the Vision Transformer, of prepending a learnable classification (“CLS”) token to the input sequence and using its final-layer representation as a pooled summary of the entire 20-day window, combined with learnable (rather than fixed sinusoidal) positional embeddings and a pre-layer-normalization arrangement that is known to stabilize training of deeper Transformer stacks.</w:t>
      </w:r>
    </w:p>
    <w:p>
      <w:pPr>
        <w:spacing w:after="200" w:line="360"/>
        <w:jc w:val="both"/>
      </w:pPr>
      <w:r>
        <w:rPr>
          <w:sz w:val="22"/>
          <w:szCs w:val="22"/>
        </w:rPr>
        <w:t xml:space="preserve">A second, related architectural idea underlying this thesis is cross-attention: rather than a sequence attending only to itself, cross-attention allows one sequence (or modality) to attend to the representations of a different sequence, using its own elements as queries and the other sequence's elements as keys and values. This mechanism is the standard building block for combining heterogeneous input streams in multimodal Transformer architectures, and is the fusion mechanism this thesis uses to let its technical and fundamental encoders exchange information (Section 4.9).</w:t>
      </w:r>
    </w:p>
    <w:p>
      <w:pPr>
        <w:pStyle w:val="Heading2"/>
        <w:spacing w:after="160" w:before="320"/>
      </w:pPr>
      <w:r>
        <w:rPr>
          <w:b/>
          <w:bCs/>
        </w:rPr>
        <w:t xml:space="preserve">2.5 Multimodal Fusion and Gated Cross-Attention</w:t>
      </w:r>
    </w:p>
    <w:p>
      <w:pPr>
        <w:spacing w:after="200" w:line="360"/>
        <w:jc w:val="both"/>
      </w:pPr>
      <w:r>
        <w:rPr>
          <w:sz w:val="22"/>
          <w:szCs w:val="22"/>
        </w:rPr>
        <w:t xml:space="preserve">A growing literature in financial forecasting combines multiple, heterogeneous information sources — price technicals, financial-news text, and inter-firm relational graphs — using dedicated encoders per modality followed by an explicit fusion module, rather than concatenating raw features into a single vector. Zong and Zhou (2024) propose the Multi-Source Gated Cross-Attention (MSGCA) framework for stock movement prediction, in which indicator sequences, financial-news documents, and a relational graph are each encoded separately (via a linear projection, a pretrained language model, and a graph attention network, respectively), and then fused through a pair of gated cross-attention networks in which a learnable, sigmoid-activated gate determines, per token, how much of one modality's cross-attended signal is admitted into the other. They report that this gating mechanism improves fusion stability and predictive performance relative to naïve concatenation or plain (ungated) cross-attention across several multimodal stock-movement datasets.</w:t>
      </w:r>
    </w:p>
    <w:p>
      <w:pPr>
        <w:spacing w:after="200" w:line="360"/>
        <w:jc w:val="both"/>
      </w:pPr>
      <w:r>
        <w:rPr>
          <w:sz w:val="22"/>
          <w:szCs w:val="22"/>
        </w:rPr>
        <w:t xml:space="preserve">This thesis adapts the gated cross-attention idea from Zong and Zhou's (2024) trimodal (price, news, graph) setting to a bimodal setting (price-based technicals and fundamental/macro signals), for which no financial-news or relational-graph data are used. The adaptation is motivated by the same underlying hypothesis: that different modalities carry information of different reliability depending on context (for example, fundamental signals may be more informative during a slow-moving credit-tightening episode than during a fast, liquidity-driven technical sell-off), and that a fixed-weight fusion — whether simple concatenation or ungated cross-attention — cannot represent this context-dependent trust allocation, whereas a learnable gate can. Section 4.9 details the exact fusion-ladder implementation (concatenation → cross-attention → gated cross-attention) used to test this hypothesis empirically.</w:t>
      </w:r>
    </w:p>
    <w:p>
      <w:pPr>
        <w:spacing w:after="240" w:before="120"/>
        <w:jc w:val="center"/>
      </w:pPr>
      <w:r>
        <w:rPr>
          <w:i/>
          <w:iCs/>
          <w:color w:val="1F5FA8"/>
          <w:sz w:val="21"/>
          <w:szCs w:val="21"/>
        </w:rPr>
        <w:t xml:space="preserve">[Şekil 2.1: Kindleberger'in mani–panik–çöküş döngüsü ile tez mimarisindeki teknik/fundamental füzyon merdiveninin yan yana gösterildiği kavramsal şema]</w:t>
      </w:r>
    </w:p>
    <w:p>
      <w:pPr>
        <w:pStyle w:val="Heading2"/>
        <w:spacing w:after="160" w:before="320"/>
      </w:pPr>
      <w:r>
        <w:rPr>
          <w:b/>
          <w:bCs/>
        </w:rPr>
        <w:t xml:space="preserve">2.6 Crash and Tail-Risk Prediction: Related Work</w:t>
      </w:r>
    </w:p>
    <w:p>
      <w:pPr>
        <w:spacing w:after="200" w:line="360"/>
        <w:jc w:val="both"/>
      </w:pPr>
      <w:r>
        <w:rPr>
          <w:sz w:val="22"/>
          <w:szCs w:val="22"/>
        </w:rPr>
        <w:t xml:space="preserve">A smaller but growing literature applies ML specifically to the prediction of stock market crashes and crisis events, rather than to average return forecasting. Chatzis, Siakoulis, Petropoulos, Stavroulakis, and Vlachogiannakis (2018) combine classification trees, support vector machines, random forests, and deep neural networks in a stacked ensemble to forecast crisis episodes across stock, bond, and currency markets, and find strong evidence of persistence in crisis states, meaning that once a market enters a crisis regime, ML models can detect this with reasonably high accuracy in subsequent periods. Dichtl, Drobetz, and Otto (2023) compare univariate threshold-based signals with machine learning classifiers, including support vector machines, in forecasting equity market crashes across the largest Eurozone economies, and report that ML-based classifiers outperform both naïve classifiers and logistic regression baselines in identifying crash episodes.</w:t>
      </w:r>
    </w:p>
    <w:p>
      <w:pPr>
        <w:spacing w:after="200" w:line="360"/>
        <w:jc w:val="both"/>
      </w:pPr>
      <w:r>
        <w:rPr>
          <w:sz w:val="22"/>
          <w:szCs w:val="22"/>
        </w:rPr>
        <w:t xml:space="preserve">At the firm level, feature-engineering approaches drawing on technical indicators have also proven useful for shorter-horizon price movement prediction. Patel, Shah, Thakkar, and Kotecha (2015) show that converting continuous technical indicators (e.g., moving averages, momentum oscillators, and volatility bands) into discretized “trend-deterministic” signals before feeding them into ML classifiers improves prediction accuracy relative to using continuous indicator values directly. This thesis retains continuous indicator values (Section 4.2) rather than discretizing them, since the Transformer and gradient-boosted architectures used here are both capable of learning nonlinear thresholds internally, but the broader lesson from Patel et al. — that raw price series alone are a comparatively weak representation, and that engineered technical features materially improve predictive accuracy — directly motivates the extensive technical-indicator set constructed in this thesis.</w:t>
      </w:r>
    </w:p>
    <w:p>
      <w:pPr>
        <w:pStyle w:val="Heading2"/>
        <w:spacing w:after="160" w:before="320"/>
      </w:pPr>
      <w:r>
        <w:rPr>
          <w:b/>
          <w:bCs/>
        </w:rPr>
        <w:t xml:space="preserve">2.7 Evaluation of Imbalanced Classifiers</w:t>
      </w:r>
    </w:p>
    <w:p>
      <w:pPr>
        <w:spacing w:after="200" w:line="360"/>
        <w:jc w:val="both"/>
      </w:pPr>
      <w:r>
        <w:rPr>
          <w:sz w:val="22"/>
          <w:szCs w:val="22"/>
        </w:rPr>
        <w:t xml:space="preserve">Because crash events are rare by construction, this thesis inherits a well-known methodological challenge in imbalanced binary classification: metrics that behave well under balanced classes can be highly misleading when the positive class is a small minority. Chawla, Bowyer, Hall, and Kegelmeyer (2002), in introducing the SMOTE synthetic-oversampling technique, document how classifiers trained on imbalanced data are systematically biased toward the majority class, and propose oversampling the minority class (rather than only under-sampling the majority) as a partial remedy; this thesis uses random oversampling of the training set specifically (Section 4.4), leaving the validation and test distributions untouched, so that reported performance reflects the true, imbalanced operating environment rather than an artificially rebalanced one.</w:t>
      </w:r>
    </w:p>
    <w:p>
      <w:pPr>
        <w:spacing w:after="200" w:line="360"/>
        <w:jc w:val="both"/>
      </w:pPr>
      <w:r>
        <w:rPr>
          <w:sz w:val="22"/>
          <w:szCs w:val="22"/>
        </w:rPr>
        <w:t xml:space="preserve">Davis and Goadrich (2006) show formally that, under class imbalance, the precision–recall curve and its summary statistic (average precision, or PR-AUC) is more informative than the receiver operating characteristic (ROC) curve, because ROC-AUC can remain deceptively high even for a classifier with poor precision on the minority class, since it is computed relative to the (large) majority class's false-positive rate. This thesis reports both PR-AUC and ROC-AUC throughout (Section 4.13), treating PR-AUC as the primary ranking metric given a positive-class base rate of roughly one-eighth of observations. For threshold-dependent evaluation, Chicco and Jurman (2020) demonstrate that the Matthews Correlation Coefficient (MCC; Matthews, 1975), originally developed to compare predicted and observed protein secondary structures, is more reliable than F1-score or accuracy in binary classification because it is the only common metric that uses all four cells of the confusion matrix (true positives, true negatives, false positives, and false negatives) and is not inflated by a classifier that trivially predicts the majority class, nor by one that trivially predicts the minority class. This thesis therefore selects its operating decision threshold, and reports its primary threshold-dependent performance, in terms of MCC rather than F1 (Section 4.12), a choice the codebase's own diagnostics support directly: an F1-maximizing threshold was observed to drift toward degenerate, high-recall solutions under this dataset's imbalance, a failure mode MCC avoids by construction.</w:t>
      </w:r>
    </w:p>
    <w:p>
      <w:pPr>
        <w:pStyle w:val="Heading2"/>
        <w:spacing w:after="160" w:before="320"/>
      </w:pPr>
      <w:r>
        <w:rPr>
          <w:b/>
          <w:bCs/>
        </w:rPr>
        <w:t xml:space="preserve">2.8 Research Gap</w:t>
      </w:r>
    </w:p>
    <w:p>
      <w:pPr>
        <w:spacing w:after="200" w:line="360"/>
        <w:jc w:val="both"/>
      </w:pPr>
      <w:r>
        <w:rPr>
          <w:sz w:val="22"/>
          <w:szCs w:val="22"/>
        </w:rPr>
        <w:t xml:space="preserve">While the reviewed literature establishes the theoretical determinants of crash risk (Chen et al., 2001; Minsky, 1992), the general effectiveness of ML methods in financial prediction (Gu et al., 2020), the Transformer architecture as a sequence model (Vaswani et al., 2017), and gated multimodal fusion in adjacent financial forecasting settings (Zong &amp; Zhou, 2024), no study known to the author combines all of these elements specifically for firm-level, volatility-adjusted, short-horizon crash prediction: that is, (i) a rigorously defined, self-referential (rather than universally fixed) drawdown target; (ii) an explicit two-stream technical/fundamental architecture with a systematically ablated fusion mechanism; (iii) a fair, identically featured comparison against a Bayesian-tuned gradient-boosted baseline; and (iv) an evaluation protocol that accounts for class imbalance, panel-data leakage risk, and seed-to-seed variability simultaneously. This thesis aims to close this gap, constructing such a target variable and architecture, and systematically comparing model families under a validation protocol designed to respect both the temporal structure of financial data (Bergmeir &amp; Benítez, 2012) and its panel (multi-ticker) structure.</w:t>
      </w:r>
    </w:p>
    <w:p>
      <w:pPr>
        <w:pStyle w:val="Heading2"/>
        <w:spacing w:after="160" w:before="320"/>
      </w:pPr>
      <w:r>
        <w:rPr>
          <w:b/>
          <w:bCs/>
        </w:rPr>
        <w:t xml:space="preserve">2.9 Note on Cross-Sectional versus Time-Series Prediction Targets</w:t>
      </w:r>
    </w:p>
    <w:p>
      <w:pPr>
        <w:spacing w:after="200" w:line="360"/>
        <w:jc w:val="both"/>
      </w:pPr>
      <w:r>
        <w:rPr>
          <w:sz w:val="22"/>
          <w:szCs w:val="22"/>
        </w:rPr>
        <w:t xml:space="preserve">It is worth situating this thesis's target variable explicitly against two related but distinct traditions in the empirical asset-pricing literature. Cross-sectional return-prediction studies, exemplified by Gu, Kelly, and Xiu (2020), typically forecast a continuous next-period return and evaluate models by cross-sectional R-squared or portfolio-sort profitability, implicitly treating every stock-month as an equally weighted, largely symmetric prediction problem. Systemic crisis-forecasting studies, exemplified by Chatzis et al. (2018) and Dichtl et al. (2023), typically forecast a single, market-wide binary crisis indicator, collapsing cross-sectional heterogeneity into one time series. This thesis's target sits deliberately between these two traditions: it is binary and asymmetric, like the crisis-forecasting literature (reflecting the practical reality that a large decline matters far more than its absence), but it is defined and predicted separately for each individual security in a large, sector-balanced cross-section, like the return-prediction literature, and — via the volatility-adjusted threshold of Section 3.4 — explicitly allows the definition of "severe" to vary across securities rather than imposing a single, market-wide crisis indicator. This hybrid design is what necessitates the panel-aware validation procedures discussed throughout Chapters 3 and 4, which have no direct counterpart in either purely cross-sectional or purely single-series crisis-forecasting studies.</w:t>
      </w:r>
    </w:p>
    <w:p>
      <w:pPr>
        <w:pStyle w:val="Heading1"/>
        <w:spacing w:after="240" w:before="480"/>
      </w:pPr>
      <w:r>
        <w:rPr>
          <w:b/>
          <w:bCs/>
        </w:rPr>
        <w:t xml:space="preserve">3. Data</w:t>
      </w:r>
    </w:p>
    <w:p>
      <w:pPr>
        <w:pStyle w:val="Heading2"/>
        <w:spacing w:after="160" w:before="320"/>
      </w:pPr>
      <w:r>
        <w:rPr>
          <w:b/>
          <w:bCs/>
        </w:rPr>
        <w:t xml:space="preserve">3.1 Data Sources: CRSP, Compustat, and Macro/Treasury Data</w:t>
      </w:r>
    </w:p>
    <w:p>
      <w:pPr>
        <w:spacing w:after="200" w:line="360"/>
        <w:jc w:val="both"/>
      </w:pPr>
      <w:r>
        <w:rPr>
          <w:sz w:val="22"/>
          <w:szCs w:val="22"/>
        </w:rPr>
        <w:t xml:space="preserve">All security-level data for this thesis are obtained from the Wharton Research Data Services (WRDS) platform, drawing on three underlying databases. Daily open, close, high, low, and volume data are obtained from the CRSP Daily Stock File (crsp.dsf), joined to CRSP's stock identifier table (crsp.stocknames) to resolve ticker symbols to permanent security identifiers (PERMNOs) valid over each security's actual name/ticker history, which correctly handles ticker reuse and renaming over the 2010–2024 sample period. Reported bid/ask-derived prices in CRSP are occasionally stored as negative values as a data-quality flag; these are converted to absolute values before use, and rows with non-positive or missing closing prices are dropped. Quarterly firm fundamentals — total liabilities, total assets, net income, revenue, current assets, and current liabilities — are obtained from Compustat's fundamentals-quarterly file (comp.fundq), restricted to standardized, consolidated, industrial-format records (indfmt = 'INDL', datafmt = 'STD', popsrc = 'D', consol = 'C'), the conventional filter combination used to avoid double-counting and non-standard reporting formats in Compustat. Quarterly ratios are forward-filled to a daily frequency between reporting dates, consistent with how this information would actually have been available to a market participant in real time.</w:t>
      </w:r>
    </w:p>
    <w:p>
      <w:pPr>
        <w:spacing w:after="200" w:line="360"/>
        <w:jc w:val="both"/>
      </w:pPr>
      <w:r>
        <w:rPr>
          <w:sz w:val="22"/>
          <w:szCs w:val="22"/>
        </w:rPr>
        <w:t xml:space="preserve">Two market-wide series are added as macroeconomic context. A daily equity market index proxy is constructed from CRSP's value-weighted market return series (crsp.dsi, vwretd), cumulated into an index level; and the CBOE volatility index (VIX) is obtained from CBOE's own WRDS-hosted table (cboe.cboe). Finally, because Treasury yield data are not available through the WRDS modules used here, the 10-year and 2-year U.S. Treasury constant-maturity yields are obtained separately via the Yahoo Finance API (tickers ^TNX and ^TWO, each expressed by the provider at ten times their percentage value and rescaled accordingly), from which the term-structure spread and its recent change are derived. Each of these external series is merged onto the security-level panel by date and forward-filled where necessary, and, in the rare case that a source is unavailable at run time, the pipeline degrades gracefully by substituting a zero-filled placeholder series rather than failing outright, with a corresponding warning logged.</w:t>
      </w:r>
    </w:p>
    <w:p>
      <w:pPr>
        <w:spacing w:after="240" w:before="120"/>
        <w:jc w:val="center"/>
      </w:pPr>
      <w:r>
        <w:rPr>
          <w:i/>
          <w:iCs/>
          <w:color w:val="1F5FA8"/>
          <w:sz w:val="21"/>
          <w:szCs w:val="21"/>
        </w:rPr>
        <w:t xml:space="preserve">[Tablo 3.1: Veri kaynaklarının özeti — WRDS/CRSP, Compustat, CBOE, Treasury (yfinance); tablo adı, sağladığı değişkenler, frekans]</w:t>
      </w:r>
    </w:p>
    <w:p>
      <w:pPr>
        <w:pStyle w:val="Heading2"/>
        <w:spacing w:after="160" w:before="320"/>
      </w:pPr>
      <w:r>
        <w:rPr>
          <w:b/>
          <w:bCs/>
        </w:rPr>
        <w:t xml:space="preserve">3.2 Universe Selection</w:t>
      </w:r>
    </w:p>
    <w:p>
      <w:pPr>
        <w:spacing w:after="200" w:line="360"/>
        <w:jc w:val="both"/>
      </w:pPr>
      <w:r>
        <w:rPr>
          <w:sz w:val="22"/>
          <w:szCs w:val="22"/>
        </w:rPr>
        <w:t xml:space="preserve">Rather than relying on a hand-curated or current index-membership-based ticker list — which would introduce survivorship bias by construction, since it implicitly excludes firms that were delisted, acquired, or went bankrupt after inclusion — this thesis constructs its equity universe programmatically and reproducibly from CRSP and Compustat, following a rule-based procedure executed as of a single formation date, 2009-12-31, strictly before the 2010-01-01 start of the sample period, so that no information used to construct the universe could only have become available after the sample begins (i.e., no look-ahead bias in universe construction).</w:t>
      </w:r>
    </w:p>
    <w:p>
      <w:pPr>
        <w:spacing w:after="200" w:line="360"/>
        <w:jc w:val="both"/>
      </w:pPr>
      <w:r>
        <w:rPr>
          <w:sz w:val="22"/>
          <w:szCs w:val="22"/>
        </w:rPr>
        <w:t xml:space="preserve">The selection procedure operates in four stages. First, CRSP's monthly stock file (crsp.msf) is used to compute each security's market capitalization over the six months preceding the formation date, retaining only the most recent valid observation per security; candidates are restricted to ordinary common shares (CRSP share codes 10 or 11) listed on NYSE, AMEX, or NASDAQ (CRSP exchange codes 1, 2, or 3) with a market capitalization between $300 million and $5,000 million — a mid-capitalization band chosen to avoid both mega-caps, whose crash dynamics are dominated by index-fund flows and macro factors rather than idiosyncratic risk, and micro-caps, whose price and volume data are often too sparse or noisy for reliable feature construction. Second, a liquidity filter retains only securities with an average daily trading volume of at least 50,000 shares over the three months preceding the formation date, observed on at least 40 distinct trading days, ensuring adequate data density for the technical indicators computed in Chapter 4. Third, each remaining security's four-digit Standard Industrial Classification (SIC) code, obtained directly from the CRSP scan, is mapped to one of eleven broad sectors using boundary rules adapted from the Fama and French (1997) industry-classification tradition (e.g., Energy, Materials, Industrials, Information Technology, Health Care, Consumer Staples, Consumer Discretionary, Communication Services, Utilities, Financials, and Real Estate); securities whose SIC code cannot be mapped to any defined sector are labeled “Other” and excluded, and, by default, the Financials and Real Estate sectors are excluded entirely from the universe, because their leverage and liquidity dynamics — and the interpretation of ratios such as Debt-to-Equity or Current Ratio for such firms — differ fundamentally from non-financial corporates and would distort the shared fundamental-encoder representation described in Section 4.3.</w:t>
      </w:r>
    </w:p>
    <w:p>
      <w:pPr>
        <w:spacing w:after="200" w:line="360"/>
        <w:jc w:val="both"/>
      </w:pPr>
      <w:r>
        <w:rPr>
          <w:sz w:val="22"/>
          <w:szCs w:val="22"/>
        </w:rPr>
        <w:t xml:space="preserve">Fourth, a sector-quota allocation procedure selects a target of 400 tickers from the surviving candidates, allocating an approximately equal base quota to each of the remaining sectors, capping any single sector's share at 20% of the final universe, and reassigning any shortfall from under-populated sectors to sectors with remaining capacity; within each sector, candidates are ranked by market capitalization and the largest qualifying names are retained. This produces a multi-sector, sector-balanced universe by design, rather than one dominated by whichever sector happened to be largest in the raw candidate pool. The resulting ticker list and sector labels are cached to disk (datasets/universe.csv) so that subsequent runs of the pipeline reuse an identical, versioned universe rather than re-querying WRDS and risking silent drift in the sample.</w:t>
      </w:r>
    </w:p>
    <w:p>
      <w:pPr>
        <w:spacing w:after="240" w:before="120"/>
        <w:jc w:val="center"/>
      </w:pPr>
      <w:r>
        <w:rPr>
          <w:i/>
          <w:iCs/>
          <w:color w:val="1F5FA8"/>
          <w:sz w:val="21"/>
          <w:szCs w:val="21"/>
        </w:rPr>
        <w:t xml:space="preserve">[Tablo 3.2: Evren seçim kriterlerinin özeti — formation date, piyasa değeri bandı, likidite eşiği, hariç tutulan sektörler, hedef hisse sayısı, sektör başı maksimum pay]</w:t>
      </w:r>
    </w:p>
    <w:p>
      <w:pPr>
        <w:spacing w:after="240" w:before="120"/>
        <w:jc w:val="center"/>
      </w:pPr>
      <w:r>
        <w:rPr>
          <w:i/>
          <w:iCs/>
          <w:color w:val="1F5FA8"/>
          <w:sz w:val="21"/>
          <w:szCs w:val="21"/>
        </w:rPr>
        <w:t xml:space="preserve">[Şekil 3.1: Seçilen 400 hisselik evrenin sektör dağılımı (bar/pasta grafiği)]</w:t>
      </w:r>
    </w:p>
    <w:p>
      <w:pPr>
        <w:pStyle w:val="Heading2"/>
        <w:spacing w:after="160" w:before="320"/>
      </w:pPr>
      <w:r>
        <w:rPr>
          <w:b/>
          <w:bCs/>
        </w:rPr>
        <w:t xml:space="preserve">3.3 Sector Classification and Sector-Relative Normalization</w:t>
      </w:r>
    </w:p>
    <w:p>
      <w:pPr>
        <w:spacing w:after="200" w:line="360"/>
        <w:jc w:val="both"/>
      </w:pPr>
      <w:r>
        <w:rPr>
          <w:sz w:val="22"/>
          <w:szCs w:val="22"/>
        </w:rPr>
        <w:t xml:space="preserve">The sector labels obtained during universe selection serve a second purpose beyond quota allocation: several technical features (Section 4.2) are expressed not only in absolute terms but also relative to the contemporaneous median of same-sector peers (e.g., Rel_Returns, Rel_RSI, Rel_Vol_20d, Rel_MACD, Rel_ROC_10, Rel_ATR_14). These sector-relative features are computed by grouping the panel jointly by calendar date and sector and subtracting (or, for strictly positive, multiplicative quantities such as realized volatility, dividing by) the same-sector, same-day median, rather than the whole-market median. This is a deliberate design choice: in a single-sector universe the distinction would be immaterial, but in a multi-sector universe a whole-market median would implicitly compare, say, a utility stock's momentum against a technology stock's momentum on the same day, diluting the signal the relative feature is meant to capture. A diagnostic check reports the number of constituent tickers per sector at each point in time, flagging sectors with fewer than five constituents as producing an unreliable median.</w:t>
      </w:r>
    </w:p>
    <w:p>
      <w:pPr>
        <w:pStyle w:val="Heading2"/>
        <w:spacing w:after="160" w:before="320"/>
      </w:pPr>
      <w:r>
        <w:rPr>
          <w:b/>
          <w:bCs/>
        </w:rPr>
        <w:t xml:space="preserve">3.4 Target Variable Definition: Volatility-Adjusted Forward Drawdown</w:t>
      </w:r>
    </w:p>
    <w:p>
      <w:pPr>
        <w:spacing w:after="200" w:line="360"/>
        <w:jc w:val="both"/>
      </w:pPr>
      <w:r>
        <w:rPr>
          <w:sz w:val="22"/>
          <w:szCs w:val="22"/>
        </w:rPr>
        <w:t xml:space="preserve">The binary target variable, Target, follows a Forward Maximum Drawdown (FMDD) design: for each ticker-day t, the model looks forward over the next 20 trading days (approximately one calendar month) and asks whether the stock's price falls, at any point in that window, by more than a threshold fraction relative to its closing price on day t. Formally, the forward drawdown is defined as:</w:t>
      </w:r>
    </w:p>
    <w:p>
      <w:pPr>
        <w:spacing w:after="120" w:before="120"/>
        <w:jc w:val="center"/>
      </w:pPr>
      <w:r>
        <w:rPr>
          <w:rFonts w:ascii="Courier New" w:cs="Courier New" w:eastAsia="Courier New" w:hAnsi="Courier New"/>
          <w:i/>
          <w:iCs/>
          <w:sz w:val="22"/>
          <w:szCs w:val="22"/>
        </w:rPr>
        <w:t xml:space="preserve">FMDD_t = ( Close_t − min(Close_{t+1}, …, Close_{t+20}) ) / Close_t</w:t>
      </w:r>
    </w:p>
    <w:p>
      <w:pPr>
        <w:spacing w:after="200" w:line="360"/>
        <w:jc w:val="both"/>
      </w:pPr>
      <w:r>
        <w:rPr>
          <w:sz w:val="22"/>
          <w:szCs w:val="22"/>
        </w:rPr>
        <w:t xml:space="preserve">Rather than comparing this forward drawdown to a single fixed percentage across all stocks in the universe, the threshold is scaled to each stock's own recent realized volatility, de-annualized and re-scaled to the 20-day horizon:</w:t>
      </w:r>
    </w:p>
    <w:p>
      <w:pPr>
        <w:spacing w:after="120" w:before="120"/>
        <w:jc w:val="center"/>
      </w:pPr>
      <w:r>
        <w:rPr>
          <w:rFonts w:ascii="Courier New" w:cs="Courier New" w:eastAsia="Courier New" w:hAnsi="Courier New"/>
          <w:i/>
          <w:iCs/>
          <w:sz w:val="22"/>
          <w:szCs w:val="22"/>
        </w:rPr>
        <w:t xml:space="preserve">expected_vol_t = ( Vol20d_t / √252 ) × √20</w:t>
      </w:r>
    </w:p>
    <w:p>
      <w:pPr>
        <w:spacing w:after="120" w:before="120"/>
        <w:jc w:val="center"/>
      </w:pPr>
      <w:r>
        <w:rPr>
          <w:rFonts w:ascii="Courier New" w:cs="Courier New" w:eastAsia="Courier New" w:hAnsi="Courier New"/>
          <w:i/>
          <w:iCs/>
          <w:sz w:val="22"/>
          <w:szCs w:val="22"/>
        </w:rPr>
        <w:t xml:space="preserve">dynamic_threshold_t = clip( 1.5 × expected_vol_t ,  0.05 ,  0.25 )</w:t>
      </w:r>
    </w:p>
    <w:p>
      <w:pPr>
        <w:spacing w:after="120" w:before="120"/>
        <w:jc w:val="center"/>
      </w:pPr>
      <w:r>
        <w:rPr>
          <w:rFonts w:ascii="Courier New" w:cs="Courier New" w:eastAsia="Courier New" w:hAnsi="Courier New"/>
          <w:i/>
          <w:iCs/>
          <w:sz w:val="22"/>
          <w:szCs w:val="22"/>
        </w:rPr>
        <w:t xml:space="preserve">Target_t = 1   if  FMDD_t ≥ dynamic_threshold_t ,   else  0</w:t>
      </w:r>
    </w:p>
    <w:p>
      <w:pPr>
        <w:spacing w:after="200" w:line="360"/>
        <w:jc w:val="both"/>
      </w:pPr>
      <w:r>
        <w:rPr>
          <w:sz w:val="22"/>
          <w:szCs w:val="22"/>
        </w:rPr>
        <w:t xml:space="preserve">where Vol20d_t is the stock's own annualized 20-day realized return volatility as of day t (already computed as part of the technical feature set; see Section 4.2), so that expected_vol_t is an estimate of the stock's own “typical” price movement over the next 20 trading days given its recent volatility regime. The multiplier of 1.5 sets the crash threshold at one and a half times this typical move — large enough to represent a genuinely unusual decline rather than routine noise, but not so large as to make the positive class vanishingly rare — and the clip to the [5%, 25%] range prevents the threshold from becoming economically meaningless at either extreme: a very low-volatility stock is still required to fall at least 5% to be labeled a crash, while a very high-volatility stock's threshold is capped at 25% so that the label does not become unreachable for genuinely volatile names. This construction directly operationalizes the intuition, discussed in Section 1.2, that a fixed drawdown percentage is not comparable across a heterogeneous, multi-sector universe, and follows the broader logic of prior crash-risk studies that define crash events relative to a security's own return distribution rather than an arbitrary calendar-independent constant (Chen, Hong, &amp; Stein, 2001). The final 20 trading days of each ticker's series are dropped from the labeled dataset, since the forward window required to evaluate the drawdown condition is not fully observed for these dates.</w:t>
      </w:r>
    </w:p>
    <w:p>
      <w:pPr>
        <w:spacing w:after="240" w:before="120"/>
        <w:jc w:val="center"/>
      </w:pPr>
      <w:r>
        <w:rPr>
          <w:i/>
          <w:iCs/>
          <w:color w:val="1F5FA8"/>
          <w:sz w:val="21"/>
          <w:szCs w:val="21"/>
        </w:rPr>
        <w:t xml:space="preserve">[Tablo 3.3: Dinamik eşik dağılımının özeti — 400 hisse için ortalama, medyan, min/max eşik değeri (%)]</w:t>
      </w:r>
    </w:p>
    <w:p>
      <w:pPr>
        <w:pStyle w:val="Heading2"/>
        <w:spacing w:after="160" w:before="320"/>
      </w:pPr>
      <w:r>
        <w:rPr>
          <w:b/>
          <w:bCs/>
        </w:rPr>
        <w:t xml:space="preserve">3.5 Data Cleaning and Preprocessing</w:t>
      </w:r>
    </w:p>
    <w:p>
      <w:pPr>
        <w:spacing w:after="200" w:line="360"/>
        <w:jc w:val="both"/>
      </w:pPr>
      <w:r>
        <w:rPr>
          <w:sz w:val="22"/>
          <w:szCs w:val="22"/>
        </w:rPr>
        <w:t xml:space="preserve">Prior to feature construction, each ticker's raw CRSP price series is deduplicated (keeping the last observation for any duplicated date), filtered to rows with strictly positive closing prices, and required to contain at least 60 trading days of history (approximately three months) before being retained; missing Open prices are backfilled from Close where necessary. Tickers with fewer than 50 valid labeled observations after feature and label construction are excluded entirely from the final panel. Compustat's quarterly fundamental ratios are winsorized at economically motivated bounds before being forward-filled to daily frequency — Debt-to-Equity is clipped to [−10, 50], Net Profit Margin to [−5, 5], and Current Ratio to [0, 20] — to prevent a small number of extreme, likely data-quality-driven outliers (for example, firms with near-zero total assets in a given quarter) from dominating the fundamental encoder's input distribution. All engineered features that would otherwise produce infinite values (for instance, a ratio with a near-zero denominator) are replaced with missing values and handled by the imputation procedure described in Section 4.4, which uses training-period medians only, applied identically to the validation and test sets, so that no information from the validation or test periods leaks into the imputation statistics.</w:t>
      </w:r>
    </w:p>
    <w:p>
      <w:pPr>
        <w:pStyle w:val="Heading2"/>
        <w:spacing w:after="160" w:before="320"/>
      </w:pPr>
      <w:r>
        <w:rPr>
          <w:b/>
          <w:bCs/>
        </w:rPr>
        <w:t xml:space="preserve">3.6 Exploratory Data Analysis</w:t>
      </w:r>
    </w:p>
    <w:p>
      <w:pPr>
        <w:spacing w:after="240" w:before="120"/>
        <w:jc w:val="center"/>
      </w:pPr>
      <w:r>
        <w:rPr>
          <w:i/>
          <w:iCs/>
          <w:color w:val="1F5FA8"/>
          <w:sz w:val="21"/>
          <w:szCs w:val="21"/>
        </w:rPr>
        <w:t xml:space="preserve">[Şekil 3.2: Örnek bir hissenin fiyat grafiği üzerinde risk bölgelerinin kırmızı ile işaretlendiği görsel (dataset_visualization.png çıktısı)]</w:t>
      </w:r>
    </w:p>
    <w:p>
      <w:pPr>
        <w:spacing w:after="200" w:line="360"/>
        <w:jc w:val="both"/>
      </w:pPr>
      <w:r>
        <w:rPr>
          <w:sz w:val="22"/>
          <w:szCs w:val="22"/>
        </w:rPr>
        <w:t xml:space="preserve">Figure 3.2 illustrates the labeling scheme for a representative ticker, plotting the closing price series together with the periods subsequently flagged as Target = 1 under the volatility-adjusted definition of Section 3.4. Visual inspection of this kind of plot is a useful sanity check to confirm that the labeling logic correctly identifies periods that precede genuine, sizeable price declines relative to the stock's own recent behavior, and that the 20-day forward window neither over- nor under-captures the drawdown events visible in the raw price series.</w:t>
      </w:r>
    </w:p>
    <w:p>
      <w:pPr>
        <w:spacing w:after="200" w:line="360"/>
        <w:jc w:val="both"/>
      </w:pPr>
      <w:r>
        <w:rPr>
          <w:sz w:val="22"/>
          <w:szCs w:val="22"/>
        </w:rPr>
        <w:t xml:space="preserve">Beyond the individual-ticker check, the panel-level exploratory analysis reports the total number of labeled rows, the number of unique tickers, the full date range, the number of engineered features, and the overall positive-class (“crash”) rate, together with a year-by-year and month-by-month breakdown of the positive rate. The latter is particularly informative given the sample's 2010–2024 span, which includes both historically calm periods and sharply elevated-volatility episodes (most notably the March 2020 COVID-19 shock and the 2022 rate-hiking bear market); a purely static positive rate would obscure the fact that this label is, by construction, time-varying and regime-dependent.</w:t>
      </w:r>
    </w:p>
    <w:p>
      <w:pPr>
        <w:spacing w:after="240" w:before="120"/>
        <w:jc w:val="center"/>
      </w:pPr>
      <w:r>
        <w:rPr>
          <w:i/>
          <w:iCs/>
          <w:color w:val="1F5FA8"/>
          <w:sz w:val="21"/>
          <w:szCs w:val="21"/>
        </w:rPr>
        <w:t xml:space="preserve">[Şekil 3.3: Aylık kriz oranının (%) zaman içindeki seyri (monthly_target_rate.png çıktısı) — COVID-19 ve 2022 ayı düşüşü gibi rejimlerin görünürlüğü]</w:t>
      </w:r>
    </w:p>
    <w:p>
      <w:pPr>
        <w:spacing w:after="240" w:before="120"/>
        <w:jc w:val="center"/>
      </w:pPr>
      <w:r>
        <w:rPr>
          <w:i/>
          <w:iCs/>
          <w:color w:val="1F5FA8"/>
          <w:sz w:val="21"/>
          <w:szCs w:val="21"/>
        </w:rPr>
        <w:t xml:space="preserve">[Tablo 3.4: Tanımlayıcı istatistikler — Close fiyatların ortalama, medyan, standart sapma, min/max değerleri; ticker başına gözlem sayısı dağılımı; yıllık kriz oranı tablosu]</w:t>
      </w:r>
    </w:p>
    <w:p>
      <w:pPr>
        <w:pStyle w:val="Heading2"/>
        <w:spacing w:after="160" w:before="320"/>
      </w:pPr>
      <w:r>
        <w:rPr>
          <w:b/>
          <w:bCs/>
        </w:rPr>
        <w:t xml:space="preserve">3.7 Chronological Train, Validation, and Test Split</w:t>
      </w:r>
    </w:p>
    <w:p>
      <w:pPr>
        <w:spacing w:after="200" w:line="360"/>
        <w:jc w:val="both"/>
      </w:pPr>
      <w:r>
        <w:rPr>
          <w:sz w:val="22"/>
          <w:szCs w:val="22"/>
        </w:rPr>
        <w:t xml:space="preserve">Consistent with the time-series nature of the data and the need to avoid look-ahead bias, the panel is split strictly chronologically into three non-overlapping periods, applied identically across every model in this thesis so that all comparisons are made on the same data partitions: a training period from 2010-01-01 to 2019-12-31, used for model fitting (and, for the neural architectures, for within-period cross-validation during hyperparameter search); a validation period from 2020-01-01 to 2021-12-31, used for model selection, early stopping, and — critically — for choosing the decision threshold (Section 4.12), and used for no other purpose; and a test period from 2022-01-01 to 2024-12-31, used exactly once, after every architectural and hyperparameter decision has been finalized, purely to report final, unbiased out-of-sample performance. This three-way split is deliberately chosen so that the validation window (2020–2021) itself spans an extreme, low-probability regime — the COVID-19 crash and its recovery — while the test window (2022–2024) spans three further, mutually distinct regimes (the 2022 rate-driven bear market, the 2023 recovery, and the 2024 bull market), providing a meaningfully out-of-regime test of generalization rather than a continuation of the same market conditions seen in training.</w:t>
      </w:r>
    </w:p>
    <w:p>
      <w:pPr>
        <w:spacing w:after="240" w:before="120"/>
        <w:jc w:val="center"/>
      </w:pPr>
      <w:r>
        <w:rPr>
          <w:i/>
          <w:iCs/>
          <w:color w:val="1F5FA8"/>
          <w:sz w:val="21"/>
          <w:szCs w:val="21"/>
        </w:rPr>
        <w:t xml:space="preserve">[Tablo 3.5: Train/Validation/Test bölünmesinin özeti — tarih aralığı, satır sayısı, ticker sayısı, kriz oranı (%) her bir dönem için]</w:t>
      </w:r>
    </w:p>
    <w:p>
      <w:pPr>
        <w:pStyle w:val="Heading2"/>
        <w:spacing w:after="160" w:before="320"/>
      </w:pPr>
      <w:r>
        <w:rPr>
          <w:b/>
          <w:bCs/>
        </w:rPr>
        <w:t xml:space="preserve">3.8 Class Imbalance Considerations</w:t>
      </w:r>
    </w:p>
    <w:p>
      <w:pPr>
        <w:spacing w:after="200" w:line="360"/>
        <w:jc w:val="both"/>
      </w:pPr>
      <w:r>
        <w:rPr>
          <w:sz w:val="22"/>
          <w:szCs w:val="22"/>
        </w:rPr>
        <w:t xml:space="preserve">Because severe, volatility-adjusted drawdowns within a 20-day window are, by construction, uncommon relative to “stable” continuation periods, the resulting dataset exhibits substantial class imbalance, with the negative (“stable”) class considerably outnumbering the positive (“risk”) class — an overall positive rate on the order of one-eighth of observations, consistent with the multiplier and clipping choices in Section 3.4, though the exact rate varies materially by year and by volatility regime (Section 3.6).</w:t>
      </w:r>
    </w:p>
    <w:p>
      <w:pPr>
        <w:spacing w:after="240" w:before="120"/>
        <w:jc w:val="center"/>
      </w:pPr>
      <w:r>
        <w:rPr>
          <w:i/>
          <w:iCs/>
          <w:color w:val="1F5FA8"/>
          <w:sz w:val="21"/>
          <w:szCs w:val="21"/>
        </w:rPr>
        <w:t xml:space="preserve">[Şekil 3.4: dataset_balance.png çıktısına dayanan sınıf dengesizliği pasta/bar grafiği]</w:t>
      </w:r>
    </w:p>
    <w:p>
      <w:pPr>
        <w:spacing w:after="200" w:line="360"/>
        <w:jc w:val="both"/>
      </w:pPr>
      <w:r>
        <w:rPr>
          <w:sz w:val="22"/>
          <w:szCs w:val="22"/>
        </w:rPr>
        <w:t xml:space="preserve">This imbalance has direct implications for both model training and evaluation: classifiers optimized naïvely for overall accuracy tend to be biased toward the majority class, and accuracy itself becomes a misleading performance metric under this degree of imbalance (Chawla, Bowyer, Hall, &amp; Kegelmeyer, 2002; Davis &amp; Goadrich, 2006; Chicco &amp; Jurman, 2020). Chapter 4 describes, in turn, the resampling strategy applied to the training set only (Section 4.4), the Focal Loss objective used in place of plain cross-entropy for the neural architectures (Section 4.10), and the Matthews-Correlation-Coefficient-based decision-threshold selection and evaluation protocol (Sections 4.12–4.13) adopted to address these concerns throughout the modeling pipeline.</w:t>
      </w:r>
    </w:p>
    <w:p>
      <w:pPr>
        <w:pStyle w:val="Heading1"/>
        <w:spacing w:after="240" w:before="480"/>
      </w:pPr>
      <w:r>
        <w:rPr>
          <w:b/>
          <w:bCs/>
        </w:rPr>
        <w:t xml:space="preserve">4. Methodology</w:t>
      </w:r>
    </w:p>
    <w:p>
      <w:pPr>
        <w:pStyle w:val="Heading2"/>
        <w:spacing w:after="160" w:before="320"/>
      </w:pPr>
      <w:r>
        <w:rPr>
          <w:b/>
          <w:bCs/>
        </w:rPr>
        <w:t xml:space="preserve">4.1 Overview of the Modeling Pipeline</w:t>
      </w:r>
    </w:p>
    <w:p>
      <w:pPr>
        <w:spacing w:after="200" w:line="360"/>
        <w:jc w:val="both"/>
      </w:pPr>
      <w:r>
        <w:rPr>
          <w:sz w:val="22"/>
          <w:szCs w:val="22"/>
        </w:rPr>
        <w:t xml:space="preserve">The full modeling pipeline proceeds in five stages, each detailed in the remaining sections of this chapter: (1) two-stream feature engineering, separating technical (price/volume-based) from fundamental/macro-based signals (Sections 4.2–4.3); (2) feature scaling, missing-value imputation, and leakage control (Section 4.4); (3) construction of fixed-length, per-ticker sequences suitable for Transformer input (Section 4.5), together with training-set-only class-imbalance handling (Section 4.6); (4) model training, comprising a Bayesian-tuned XGBoost baseline (Section 4.7) and a family of Transformer architectures culminating in the proposed dual-encoder, gated-cross-attention model (Sections 4.8–4.11); and (5) decision-threshold selection, evaluation, and a systematic ablation/robustness design (Sections 4.12–4.14). Throughout, the same chronological train/validation/test partition (Section 3.7) and the same engineered feature set are used for every model, so that differences in reported performance can be attributed to modeling choices rather than to differences in data access.</w:t>
      </w:r>
    </w:p>
    <w:p>
      <w:pPr>
        <w:pStyle w:val="Heading2"/>
        <w:spacing w:after="160" w:before="320"/>
      </w:pPr>
      <w:r>
        <w:rPr>
          <w:b/>
          <w:bCs/>
        </w:rPr>
        <w:t xml:space="preserve">4.2 Feature Engineering I: Technical Indicators (Fast-Moving Signals)</w:t>
      </w:r>
    </w:p>
    <w:p>
      <w:pPr>
        <w:spacing w:after="200" w:line="360"/>
        <w:jc w:val="both"/>
      </w:pPr>
      <w:r>
        <w:rPr>
          <w:sz w:val="22"/>
          <w:szCs w:val="22"/>
        </w:rPr>
        <w:t xml:space="preserve">The technical feature stream is computed independently for each ticker from its own daily Open, High, Low, Close, and Volume series, using the industry-standard TA-Lib library where available (with a hand-implemented pandas fallback that reproduces the same feature names and, as closely as possible, the same definitions, to preserve reproducibility on systems without a TA-Lib installation). All rolling-window computations use only information available up to and including day t, so that no feature can leak information from the future — a requirement that is especially important given that the target variable itself is a forward-looking quantity (Section 3.4).</w:t>
      </w:r>
    </w:p>
    <w:p>
      <w:pPr>
        <w:pStyle w:val="Heading3"/>
        <w:spacing w:after="120" w:before="240"/>
      </w:pPr>
      <w:r>
        <w:rPr>
          <w:b/>
          <w:bCs/>
          <w:i/>
          <w:iCs/>
        </w:rPr>
        <w:t xml:space="preserve">Momentum and oscillator features</w:t>
      </w:r>
    </w:p>
    <w:p>
      <w:pPr>
        <w:spacing w:after="200" w:line="360"/>
        <w:jc w:val="both"/>
      </w:pPr>
      <w:r>
        <w:rPr>
          <w:sz w:val="22"/>
          <w:szCs w:val="22"/>
        </w:rPr>
        <w:t xml:space="preserve">The 14-day Relative Strength Index (RSI) and the 12/26/9 Moving Average Convergence Divergence (MACD) line, signal line, and histogram (MACD_Hist), together with the histogram's first difference (MACD_Hist_Slope, capturing acceleration or deceleration of momentum), are computed as standard oscillator-style momentum features. Three additional TA-Lib “bonus” indicators are included as literature-standard complements to RSI and MACD: the 14-day Commodity Channel Index (CCI_14), the 14-day Money Flow Index (MFI_14, a volume-weighted analogue of RSI), and the 14-day Williams %R (WILLR_14).</w:t>
      </w:r>
    </w:p>
    <w:p>
      <w:pPr>
        <w:pStyle w:val="Heading3"/>
        <w:spacing w:after="120" w:before="240"/>
      </w:pPr>
      <w:r>
        <w:rPr>
          <w:b/>
          <w:bCs/>
          <w:i/>
          <w:iCs/>
        </w:rPr>
        <w:t xml:space="preserve">Volatility and band-based features</w:t>
      </w:r>
    </w:p>
    <w:p>
      <w:pPr>
        <w:spacing w:after="200" w:line="360"/>
        <w:jc w:val="both"/>
      </w:pPr>
      <w:r>
        <w:rPr>
          <w:sz w:val="22"/>
          <w:szCs w:val="22"/>
        </w:rPr>
        <w:t xml:space="preserve">20-day Bollinger Bands (a 20-day simple moving average ± two standard deviations) are used to derive the price's percentile position within the band (BB_Pct) and the band's relative width (BB_Width, a proxy for expanding or contracting volatility regimes). Realized volatility itself is captured directly through Returns (simple daily returns), and 5-day and 20-day annualized realized volatility (Vol_5d, Vol_20d, the latter of which also feeds directly into the dynamic crash-risk threshold of Section 3.4). The 14-day Average True Range (ATR_14) and 14-day Average Directional Index (ADX_14) provide, respectively, an absolute measure of daily trading range and a measure of trend strength independent of trend direction.</w:t>
      </w:r>
    </w:p>
    <w:p>
      <w:pPr>
        <w:pStyle w:val="Heading3"/>
        <w:spacing w:after="120" w:before="240"/>
      </w:pPr>
      <w:r>
        <w:rPr>
          <w:b/>
          <w:bCs/>
          <w:i/>
          <w:iCs/>
        </w:rPr>
        <w:t xml:space="preserve">Drawdown, trend, and distance-to-extreme features</w:t>
      </w:r>
    </w:p>
    <w:p>
      <w:pPr>
        <w:spacing w:after="200" w:line="360"/>
        <w:jc w:val="both"/>
      </w:pPr>
      <w:r>
        <w:rPr>
          <w:sz w:val="22"/>
          <w:szCs w:val="22"/>
        </w:rPr>
        <w:t xml:space="preserve">A set of explicitly drawdown-oriented features tracks the stock's current price relative to its own recent peak: Current_Drawdown_5d and Current_Drawdown_20d measure the percentage decline from the 5-day and 20-day rolling high, respectively, Current_Return_5d captures the raw 5-day return, and Dist_to_Max252d measures the distance (in percentage terms) from the trailing 252-day (approximately one trading year) high, a common proxy for “distance from the 52-week high” used in momentum and reversal studies. Trend-strength features (Price_vs_SMA50, Price_vs_SMA200) express the current price relative to its 50- and 200-day simple moving averages, while the 10-day Rate of Change (ROC_10) captures shorter-term price momentum.</w:t>
      </w:r>
    </w:p>
    <w:p>
      <w:pPr>
        <w:pStyle w:val="Heading3"/>
        <w:spacing w:after="120" w:before="240"/>
      </w:pPr>
      <w:r>
        <w:rPr>
          <w:b/>
          <w:bCs/>
          <w:i/>
          <w:iCs/>
        </w:rPr>
        <w:t xml:space="preserve">Volume-based and “vulnerability” features</w:t>
      </w:r>
    </w:p>
    <w:p>
      <w:pPr>
        <w:spacing w:after="200" w:line="360"/>
        <w:jc w:val="both"/>
      </w:pPr>
      <w:r>
        <w:rPr>
          <w:sz w:val="22"/>
          <w:szCs w:val="22"/>
        </w:rPr>
        <w:t xml:space="preserve">Relative trading volume (Rel_Volume, current volume relative to its own 20-day moving average) and a volume-trend feature (Vol_Trend, the relative difference between 5-day and 20-day average volume) capture abnormal liquidity conditions. A 20-day z-scored On-Balance Volume indicator (OBV_Z20) normalizes the cumulative volume-flow indicator to a comparable daily scale across tickers. Beyond these standard indicators, this thesis constructs two custom “vulnerability” or smart-money-tracking features motivated directly by the Chen, Hong, and Stein (2001) crash-risk mechanism (Section 2.2): RSI_Divergence, which captures cases where price is near a local peak (high Price_vs_Max20d) while momentum, as measured by RSI, is simultaneously fading (low RSI_vs_Max20d) — a classic bearish-divergence signal; and Vol_Dist_Ratio, the share of the past 20 days' trading volume that occurred on down days rather than up days, a proxy for quiet institutional distribution ahead of a visible price decline.</w:t>
      </w:r>
    </w:p>
    <w:p>
      <w:pPr>
        <w:pStyle w:val="Heading3"/>
        <w:spacing w:after="120" w:before="240"/>
      </w:pPr>
      <w:r>
        <w:rPr>
          <w:b/>
          <w:bCs/>
          <w:i/>
          <w:iCs/>
        </w:rPr>
        <w:t xml:space="preserve">Sector-relative technical features</w:t>
      </w:r>
    </w:p>
    <w:p>
      <w:pPr>
        <w:spacing w:after="200" w:line="360"/>
        <w:jc w:val="both"/>
      </w:pPr>
      <w:r>
        <w:rPr>
          <w:sz w:val="22"/>
          <w:szCs w:val="22"/>
        </w:rPr>
        <w:t xml:space="preserve">Finally, six of the above features (Returns, RSI, Vol_20d, MACD, ROC_10, and ATR_14) are additionally expressed relative to the same-day, same-sector median across the universe, as described in Section 3.3, producing the Rel_Returns, Rel_RSI, Rel_Vol_20d, Rel_MACD, Rel_ROC_10, and Rel_ATR_14 features. Together, the technical stream comprises approximately thirty engineered features per ticker-day, summarized in Table 4.1.</w:t>
      </w:r>
    </w:p>
    <w:p>
      <w:pPr>
        <w:spacing w:after="240" w:before="120"/>
        <w:jc w:val="center"/>
      </w:pPr>
      <w:r>
        <w:rPr>
          <w:i/>
          <w:iCs/>
          <w:color w:val="1F5FA8"/>
          <w:sz w:val="21"/>
          <w:szCs w:val="21"/>
        </w:rPr>
        <w:t xml:space="preserve">[Tablo 4.1: Teknik özellik listesi (TECHNICAL_COLS) — özellik adı, formül/tanım, hesaplama penceresi, kategori (momentum / volatilite / drawdown / trend / hacim / sektör-göreli)]</w:t>
      </w:r>
    </w:p>
    <w:p>
      <w:pPr>
        <w:pStyle w:val="Heading2"/>
        <w:spacing w:after="160" w:before="320"/>
      </w:pPr>
      <w:r>
        <w:rPr>
          <w:b/>
          <w:bCs/>
        </w:rPr>
        <w:t xml:space="preserve">4.3 Feature Engineering II: Fundamental, Macro, and Interaction Signals (Slow-Moving Signals)</w:t>
      </w:r>
    </w:p>
    <w:p>
      <w:pPr>
        <w:spacing w:after="200" w:line="360"/>
        <w:jc w:val="both"/>
      </w:pPr>
      <w:r>
        <w:rPr>
          <w:sz w:val="22"/>
          <w:szCs w:val="22"/>
        </w:rPr>
        <w:t xml:space="preserve">The fundamental/macro stream is designed to capture slower-moving, lower-frequency information than the technical stream, consistent with the dual-encoder architecture's motivating hypothesis (Section 1.2) that these two families warrant separate representations. Three accounting ratios are computed from Compustat quarterly fundamentals and forward-filled to daily frequency: Debt_to_Equity (total liabilities over total assets, from the balance sheet), Net_Profit_Margin (net income over revenue, from the income statement), and Current_Ratio (current assets over current liabilities, a short-term liquidity measure); all three are winsorized as described in Section 3.5 before use.</w:t>
      </w:r>
    </w:p>
    <w:p>
      <w:pPr>
        <w:spacing w:after="200" w:line="360"/>
        <w:jc w:val="both"/>
      </w:pPr>
      <w:r>
        <w:rPr>
          <w:sz w:val="22"/>
          <w:szCs w:val="22"/>
        </w:rPr>
        <w:t xml:space="preserve">Market-wide macro features include the VIX level (VIX_Close) and its 5-day and 10-day changes (VIX_5d_Delta, VIX_10d_Delta, capturing the speed of fear-gauge movements rather than only its level), together with the aggregate market index's trend relative to its 50-day and 200-day moving averages (SPY_Trend_50, SPY_Trend_200) and the 5-day acceleration of the 50-day trend measure (SPY_Trend_Accel). Four micro–macro interaction terms are constructed explicitly to let the model represent the idea, motivated in Section 2.2, that a firm's fundamental vulnerability may matter more or less depending on the prevailing macro regime: Debt_x_VIX_Delta (leverage interacted with recent VIX changes), Leverage_x_VIX (leverage interacted with the VIX level itself), Liquidity_Stress (the current ratio interacted with the negative of the market trend, so that weak liquidity buffers are flagged as more concerning specifically when the broader market is falling), and Margin_x_Vol (profitability interacted with realized volatility). Finally, Treasury-market information is captured through the 10-year–2-year yield spread (Yield_Spread_10Y2Y), a binary yield-curve-inversion flag (Is_Yield_Inverted), and the 20-day change in the spread (Yield_Spread_Delta_20d), all derived from the ^TNX/^TWO series described in Section 3.1. In total, the fundamental/macro stream comprises approximately fourteen features per ticker-day, summarized in Table 4.2.</w:t>
      </w:r>
    </w:p>
    <w:p>
      <w:pPr>
        <w:spacing w:after="240" w:before="120"/>
        <w:jc w:val="center"/>
      </w:pPr>
      <w:r>
        <w:rPr>
          <w:i/>
          <w:iCs/>
          <w:color w:val="1F5FA8"/>
          <w:sz w:val="21"/>
          <w:szCs w:val="21"/>
        </w:rPr>
        <w:t xml:space="preserve">[Tablo 4.2: Fundamental/makro özellik listesi (FUNDAMENTAL_COLS) — özellik adı, kaynak (Compustat/CBOE/Treasury), formül/tanım, kategori]</w:t>
      </w:r>
    </w:p>
    <w:p>
      <w:pPr>
        <w:spacing w:after="200" w:line="360"/>
        <w:jc w:val="both"/>
      </w:pPr>
      <w:r>
        <w:rPr>
          <w:sz w:val="22"/>
          <w:szCs w:val="22"/>
        </w:rPr>
        <w:t xml:space="preserve">Because not every macro or fundamental source is guaranteed to be available for every run (for example, if a WRDS query for Treasury data fails at run time), the pipeline determines the tech/fundamental column split dynamically at run time from whichever columns are actually present in the assembled panel, silently omitting any unavailable series rather than failing outright — a deliberate robustness choice that keeps the two-stream architecture of Section 4.8 functional even under partial data availability.</w:t>
      </w:r>
    </w:p>
    <w:p>
      <w:pPr>
        <w:pStyle w:val="Heading2"/>
        <w:spacing w:after="160" w:before="320"/>
      </w:pPr>
      <w:r>
        <w:rPr>
          <w:b/>
          <w:bCs/>
        </w:rPr>
        <w:t xml:space="preserve">4.4 Feature Scaling, Imputation, and Leakage Control</w:t>
      </w:r>
    </w:p>
    <w:p>
      <w:pPr>
        <w:spacing w:after="200" w:line="360"/>
        <w:jc w:val="both"/>
      </w:pPr>
      <w:r>
        <w:rPr>
          <w:sz w:val="22"/>
          <w:szCs w:val="22"/>
        </w:rPr>
        <w:t xml:space="preserve">Three leakage-control principles are applied uniformly across every model in this thesis. First, any missing feature value is imputed using the per-column median computed on the training period only; this same training-period median is then applied, unchanged, to fill missing values in both the validation and test periods, so that no information about the distribution of validation or test data ever influences the imputed values. Second, feature scaling uses a RobustScaler (centering by the median and scaling by the interquartile range, chosen over standard z-scoring for its greater resistance to the heavy-tailed outliers common in financial return and ratio data) fit exclusively on the training period and then applied, without refitting, to the validation and test periods. Third, and specific to the neural architectures' sequence construction (Section 4.5), all rolling-window technical features are, by construction, computed using only past and current-day information, and the sequence dataset itself is built independently per ticker after sorting by date, so that no sequence window can span information from a different ticker or from out-of-order dates.</w:t>
      </w:r>
    </w:p>
    <w:p>
      <w:pPr>
        <w:pStyle w:val="Heading2"/>
        <w:spacing w:after="160" w:before="320"/>
      </w:pPr>
      <w:r>
        <w:rPr>
          <w:b/>
          <w:bCs/>
        </w:rPr>
        <w:t xml:space="preserve">4.5 Dual-Stream Sequence Construction</w:t>
      </w:r>
    </w:p>
    <w:p>
      <w:pPr>
        <w:spacing w:after="200" w:line="360"/>
        <w:jc w:val="both"/>
      </w:pPr>
      <w:r>
        <w:rPr>
          <w:sz w:val="22"/>
          <w:szCs w:val="22"/>
        </w:rPr>
        <w:t xml:space="preserve">For the Transformer-based architectures (Sections 4.8–4.9), the scaled, imputed panel is converted into fixed-length sequences of 20 trading days (seq_len = 20), matching the label's own forward horizon. For each ticker, after sorting its rows by date, a sliding window produces one training example per valid ending date i, consisting of a technical sub-sequence (the 20 most recent days' values of every technical feature), a fundamental sub-sequence (the 20 most recent days' values of every fundamental/macro feature), and the label observed on the window's final day. Because this windowing is performed independently per ticker, the first 19 trading days of each ticker's history cannot form a complete window and are necessarily excluded from the sequence dataset (though they remain available to the flat, non-sequential XGBoost baseline of Section 4.7, which does not require a contiguous window). The resulting three tensors — a (batch, 20, n_tech) technical sequence, a (batch, 20, n_fund) fundamental sequence, and a (batch,) label vector — are wrapped in a custom PyTorch Dataset (DualStreamSequenceDataset) and are the direct input to the dual-encoder Transformer of Section 4.8; a single-stream variant (SequenceDataset), concatenating all technical and fundamental features into one flat per-day vector, is used for the single-encoder Transformer baseline of Section 4.8 and for constructing an equivalent, apples-to-apples flat feature representation for the XGBoost baseline of Section 4.7.</w:t>
      </w:r>
    </w:p>
    <w:p>
      <w:pPr>
        <w:spacing w:after="240" w:before="120"/>
        <w:jc w:val="center"/>
      </w:pPr>
      <w:r>
        <w:rPr>
          <w:i/>
          <w:iCs/>
          <w:color w:val="1F5FA8"/>
          <w:sz w:val="21"/>
          <w:szCs w:val="21"/>
        </w:rPr>
        <w:t xml:space="preserve">[Şekil 4.1: 20 günlük kayan pencere ile dual-stream sekans oluşturma şemasının görselleştirilmesi]</w:t>
      </w:r>
    </w:p>
    <w:p>
      <w:pPr>
        <w:pStyle w:val="Heading2"/>
        <w:spacing w:after="160" w:before="320"/>
      </w:pPr>
      <w:r>
        <w:rPr>
          <w:b/>
          <w:bCs/>
        </w:rPr>
        <w:t xml:space="preserve">4.6 Class Imbalance Handling in Model Training</w:t>
      </w:r>
    </w:p>
    <w:p>
      <w:pPr>
        <w:spacing w:after="200" w:line="360"/>
        <w:jc w:val="both"/>
      </w:pPr>
      <w:r>
        <w:rPr>
          <w:sz w:val="22"/>
          <w:szCs w:val="22"/>
        </w:rPr>
        <w:t xml:space="preserve">Class imbalance (Section 3.8) is addressed at two complementary levels, both applied to the training partition only, so that validation and test performance always reflect the true, imbalanced operating environment. At the data level, random oversampling of the minority (“risk”) class — via the imbalanced-learn library's RandomOverSampler, with a WeightedRandomSampler-based fallback if that library is unavailable — is applied to the training sequences (or, for the flat XGBoost representation, left to the model's own scale_pos_weight hyperparameter, tuned as part of the Bayesian search in Section 4.7, since gradient-boosted trees can incorporate class weighting directly rather than requiring data-level resampling). At the loss level, the neural architectures replace plain binary cross-entropy with a Focal Loss objective (Section 4.10), providing a second, complementary mechanism for down-weighting the very large number of easily classified “stable” examples during training.</w:t>
      </w:r>
    </w:p>
    <w:p>
      <w:pPr>
        <w:pStyle w:val="Heading2"/>
        <w:spacing w:after="160" w:before="320"/>
      </w:pPr>
      <w:r>
        <w:rPr>
          <w:b/>
          <w:bCs/>
        </w:rPr>
        <w:t xml:space="preserve">4.7 Baseline Model: XGBoost with Bayesian Hyperparameter Optimization</w:t>
      </w:r>
    </w:p>
    <w:p>
      <w:pPr>
        <w:spacing w:after="200" w:line="360"/>
        <w:jc w:val="both"/>
      </w:pPr>
      <w:r>
        <w:rPr>
          <w:sz w:val="22"/>
          <w:szCs w:val="22"/>
        </w:rPr>
        <w:t xml:space="preserve">The primary non-neural baseline is a gradient-boosted tree classifier implemented with XGBoost (Chen &amp; Guestrin, 2016), applied to the flat concatenation of every technical and fundamental feature for a given ticker-day (that is, without the sequence windowing or modality separation used by the Transformer architectures), so that the comparison between XGBoost and the proposed dual-encoder Transformer isolates the specific contribution of sequence modeling and cross-modal attention, holding the underlying information set fixed.</w:t>
      </w:r>
    </w:p>
    <w:p>
      <w:pPr>
        <w:spacing w:after="200" w:line="360"/>
        <w:jc w:val="both"/>
      </w:pPr>
      <w:r>
        <w:rPr>
          <w:sz w:val="22"/>
          <w:szCs w:val="22"/>
        </w:rPr>
        <w:t xml:space="preserve">Hyperparameters — maximum tree depth, learning rate, number of estimators, subsample and column-subsample fractions, the minimum-split-loss parameter gamma, the minimum child weight, L1 and L2 regularization strengths (reg_alpha, reg_lambda), and the positive-class weight (scale_pos_weight) — are tuned via Optuna's Bayesian (tree-structured Parzen estimator) search over 100 trials, maximizing the mean out-of-fold average precision (PR-AUC) rather than a threshold-dependent metric, consistent with this thesis's emphasis on ranking quality under imbalance (Section 2.7). Cross-validation during this search uses a custom panel-aware, date-based walk-forward scheme rather than a conventional row-based k-fold or TimeSeriesSplit: because a naïve row-based fold would place different tickers' observations from the same calendar date into different folds, it would allow a model to implicitly learn about a given date's market-wide conditions from one ticker's fold and exploit that in a held-out ticker's fold on the same date, understating true out-of-sample difficulty. The panel-aware scheme instead sorts the training period's unique dates, and for each of five expanding-window folds, places every ticker's observations before a given date cutoff into that fold's training split and every ticker's observations in the subsequent date range into its validation split, so that an entire calendar date — across all tickers — is assigned to exactly one side of each fold.</w:t>
      </w:r>
    </w:p>
    <w:p>
      <w:pPr>
        <w:spacing w:after="200" w:line="360"/>
        <w:jc w:val="both"/>
      </w:pPr>
      <w:r>
        <w:rPr>
          <w:sz w:val="22"/>
          <w:szCs w:val="22"/>
        </w:rPr>
        <w:t xml:space="preserve">The final model is refit on the full training period using the selected hyperparameters, with early stopping (50 rounds without improvement in validation log-loss, evaluated against the chronological validation period of Section 3.7) determining the effective number of boosting rounds. Two complementary interpretability analyses are performed on the fitted model: gain-based feature importance, ranking each feature by its average contribution to loss reduction across all splits in which it is used (exported to a feature-importance table for cross-reference with the theoretical determinants discussed in Chapter 2); and a SHAP (SHapley Additive exPlanations) summary analysis using a tree-specific explainer, computed on a random sample of up to 2,000 validation observations, which decomposes each individual prediction into additive per-feature contributions and visualizes their distribution across the sample. Decision-threshold selection follows the same Matthews-Correlation-Coefficient-based procedure used for the neural architectures (Section 4.12), ensuring that the comparison between XGBoost and the Transformer models in Chapter 5 is not confounded by different threshold-selection philosophies.</w:t>
      </w:r>
    </w:p>
    <w:p>
      <w:pPr>
        <w:spacing w:after="240" w:before="120"/>
        <w:jc w:val="center"/>
      </w:pPr>
      <w:r>
        <w:rPr>
          <w:i/>
          <w:iCs/>
          <w:color w:val="1F5FA8"/>
          <w:sz w:val="21"/>
          <w:szCs w:val="21"/>
        </w:rPr>
        <w:t xml:space="preserve">[Şekil 4.2: XGBoost öğrenme eğrisi (train/validation log-loss vs. ağaç sayısı, early-stopping noktası işaretli)]</w:t>
      </w:r>
    </w:p>
    <w:p>
      <w:pPr>
        <w:spacing w:after="240" w:before="120"/>
        <w:jc w:val="center"/>
      </w:pPr>
      <w:r>
        <w:rPr>
          <w:i/>
          <w:iCs/>
          <w:color w:val="1F5FA8"/>
          <w:sz w:val="21"/>
          <w:szCs w:val="21"/>
        </w:rPr>
        <w:t xml:space="preserve">[Şekil 4.3: XGBoost SHAP summary plot (en etkili 20 özellik)]</w:t>
      </w:r>
    </w:p>
    <w:p>
      <w:pPr>
        <w:spacing w:after="240" w:before="120"/>
        <w:jc w:val="center"/>
      </w:pPr>
      <w:r>
        <w:rPr>
          <w:i/>
          <w:iCs/>
          <w:color w:val="1F5FA8"/>
          <w:sz w:val="21"/>
          <w:szCs w:val="21"/>
        </w:rPr>
        <w:t xml:space="preserve">[Tablo 4.3: Optuna Bayesian aramasında taranan hiperparametre aralıkları ve final modelde seçilen değerler]</w:t>
      </w:r>
    </w:p>
    <w:p>
      <w:pPr>
        <w:pStyle w:val="Heading2"/>
        <w:spacing w:after="160" w:before="320"/>
      </w:pPr>
      <w:r>
        <w:rPr>
          <w:b/>
          <w:bCs/>
        </w:rPr>
        <w:t xml:space="preserve">4.8 Deep Learning Architectures: From Single-Encoder to Dual-Encoder Transformers</w:t>
      </w:r>
    </w:p>
    <w:p>
      <w:pPr>
        <w:spacing w:after="200" w:line="360"/>
        <w:jc w:val="both"/>
      </w:pPr>
      <w:r>
        <w:rPr>
          <w:sz w:val="22"/>
          <w:szCs w:val="22"/>
        </w:rPr>
        <w:t xml:space="preserve">Three neural architectures are considered, each building on the Transformer encoder block of Vaswani et al. (2017) (Section 2.4): a learnable, per-position embedding is added to each projected input, a learnable CLS token is prepended to the sequence, the resulting (seq_len + 1)-length sequence is passed through a stack of pre-layer-normalized, GELU-activated Transformer encoder layers with multi-head self-attention, and the final-layer CLS representation is used as the pooled sequence embedding fed to a small classification head (a two-layer feed-forward network with dropout, producing a single crash-probability logit).</w:t>
      </w:r>
    </w:p>
    <w:p>
      <w:pPr>
        <w:pStyle w:val="Heading3"/>
        <w:spacing w:after="120" w:before="240"/>
      </w:pPr>
      <w:r>
        <w:rPr>
          <w:b/>
          <w:bCs/>
          <w:i/>
          <w:iCs/>
        </w:rPr>
        <w:t xml:space="preserve">Single-encoder baseline (TimeSeriesTransformer)</w:t>
      </w:r>
    </w:p>
    <w:p>
      <w:pPr>
        <w:spacing w:after="200" w:line="360"/>
        <w:jc w:val="both"/>
      </w:pPr>
      <w:r>
        <w:rPr>
          <w:sz w:val="22"/>
          <w:szCs w:val="22"/>
        </w:rPr>
        <w:t xml:space="preserve">The first architecture applies a single such encoder to the flat, concatenated technical-plus-fundamental sequence (identical in content to the XGBoost baseline's flat feature vector, but presented as a 20-day sequence rather than a single snapshot). This model isolates the value of sequence/temporal modeling in itself, independent of any modality separation: any improvement over XGBoost here can be attributed to the Transformer's ability to model how features evolve over the trailing 20 days, rather than to the dual-encoder architecture discussed next.</w:t>
      </w:r>
    </w:p>
    <w:p>
      <w:pPr>
        <w:pStyle w:val="Heading3"/>
        <w:spacing w:after="120" w:before="240"/>
      </w:pPr>
      <w:r>
        <w:rPr>
          <w:b/>
          <w:bCs/>
          <w:i/>
          <w:iCs/>
        </w:rPr>
        <w:t xml:space="preserve">Dual-encoder architecture (DualEncoderTransformer)</w:t>
      </w:r>
    </w:p>
    <w:p>
      <w:pPr>
        <w:spacing w:after="200" w:line="360"/>
        <w:jc w:val="both"/>
      </w:pPr>
      <w:r>
        <w:rPr>
          <w:sz w:val="22"/>
          <w:szCs w:val="22"/>
        </w:rPr>
        <w:t xml:space="preserve">The second, and central, architecture instantiates two independent stream encoders of the type just described — a technical encoder and a fundamental encoder — each with its own input projection, CLS token, positional embedding, and Transformer encoder stack, operating respectively on the technical and fundamental sub-sequences produced in Section 4.5. The architecture supports three configurable modality modes, used for the ablation reported in Chapter 5: tech_only (only the technical encoder is instantiated and used, functioning as a sequence-based, technical-only counterpart to XGBoost); fund_only (only the fundamental encoder is instantiated and used); and multimodal (both encoders are instantiated, and their pooled CLS representations are combined via one of the three fusion mechanisms described in Section 4.9 before the shared classification head). Comparing tech_only and fund_only against multimodal directly tests this thesis's central hypothesis (Section 1.2) that combining both modalities adds predictive value beyond either alone.</w:t>
      </w:r>
    </w:p>
    <w:p>
      <w:pPr>
        <w:spacing w:after="200" w:line="360"/>
        <w:jc w:val="both"/>
      </w:pPr>
      <w:r>
        <w:rPr>
          <w:sz w:val="22"/>
          <w:szCs w:val="22"/>
        </w:rPr>
        <w:t xml:space="preserve">Unless otherwise noted, all Transformer configurations in this thesis use a model (embedding) dimension d_model = 64, 4 attention heads, 2 encoder layers, a feed-forward dimension of 256, and a dropout rate of 0.15, applied identically across the modality-ablation and fusion-ladder comparisons of Section 4.9 so that any performance differences can be attributed to the architectural factor being tested (modality or fusion mechanism) rather than to incidental differences in model capacity.</w:t>
      </w:r>
    </w:p>
    <w:p>
      <w:pPr>
        <w:spacing w:after="240" w:before="120"/>
        <w:jc w:val="center"/>
      </w:pPr>
      <w:r>
        <w:rPr>
          <w:i/>
          <w:iCs/>
          <w:color w:val="1F5FA8"/>
          <w:sz w:val="21"/>
          <w:szCs w:val="21"/>
        </w:rPr>
        <w:t xml:space="preserve">[Şekil 4.4: Dual-Encoder Transformer mimari şeması — teknik ve fundamental encoder'lar, CLS token, pozisyonel encoding, füzyon katmanı, sınıflandırma başlığı]</w:t>
      </w:r>
    </w:p>
    <w:p>
      <w:pPr>
        <w:pStyle w:val="Heading2"/>
        <w:spacing w:after="160" w:before="320"/>
      </w:pPr>
      <w:r>
        <w:rPr>
          <w:b/>
          <w:bCs/>
        </w:rPr>
        <w:t xml:space="preserve">4.9 The Fusion Ladder: Concatenation, Cross-Attention, and Gated Cross-Attention</w:t>
      </w:r>
    </w:p>
    <w:p>
      <w:pPr>
        <w:spacing w:after="200" w:line="360"/>
        <w:jc w:val="both"/>
      </w:pPr>
      <w:r>
        <w:rPr>
          <w:sz w:val="22"/>
          <w:szCs w:val="22"/>
        </w:rPr>
        <w:t xml:space="preserve">When operating in multimodal mode, the dual-encoder architecture supports three fusion mechanisms, deliberately organized as a “fusion ladder” of increasing sophistication, so that each rung's incremental contribution can be isolated while holding every other architectural choice (encoder size, depth, dropout, training schedule) fixed.</w:t>
      </w:r>
    </w:p>
    <w:p>
      <w:pPr>
        <w:pStyle w:val="Heading3"/>
        <w:spacing w:after="120" w:before="240"/>
      </w:pPr>
      <w:r>
        <w:rPr>
          <w:b/>
          <w:bCs/>
          <w:i/>
          <w:iCs/>
        </w:rPr>
        <w:t xml:space="preserve">Rung 1 — Concatenation (static fusion)</w:t>
      </w:r>
    </w:p>
    <w:p>
      <w:pPr>
        <w:spacing w:after="200" w:line="360"/>
        <w:jc w:val="both"/>
      </w:pPr>
      <w:r>
        <w:rPr>
          <w:sz w:val="22"/>
          <w:szCs w:val="22"/>
        </w:rPr>
        <w:t xml:space="preserve">The simplest fusion mechanism takes each encoder's pooled CLS embedding independently — with no cross-modal interaction at the sequence level at all — concatenates the two vectors, and passes the result through a small fusion multilayer perceptron (linear projection, GELU activation, layer normalization, dropout) to produce the final fused representation. This rung serves as the fusion-side null hypothesis: it uses both modalities, but treats them as independently summarized and only combines the resulting summaries, testing whether cross-modal interaction below the pooling level matters at all.</w:t>
      </w:r>
    </w:p>
    <w:p>
      <w:pPr>
        <w:pStyle w:val="Heading3"/>
        <w:spacing w:after="120" w:before="240"/>
      </w:pPr>
      <w:r>
        <w:rPr>
          <w:b/>
          <w:bCs/>
          <w:i/>
          <w:iCs/>
        </w:rPr>
        <w:t xml:space="preserve">Rung 2 — Bidirectional cross-attention (dynamic fusion)</w:t>
      </w:r>
    </w:p>
    <w:p>
      <w:pPr>
        <w:spacing w:after="200" w:line="360"/>
        <w:jc w:val="both"/>
      </w:pPr>
      <w:r>
        <w:rPr>
          <w:sz w:val="22"/>
          <w:szCs w:val="22"/>
        </w:rPr>
        <w:t xml:space="preserve">The second rung replaces static concatenation with bidirectional multi-head cross-attention between the two encoders' full token-level sequences (including their CLS tokens), before pooling: the technical stream's tokens serve as queries against the fundamental stream's tokens as keys and values, and, symmetrically, the fundamental stream's tokens query the technical stream's tokens. Each direction's cross-attention output is added back to the original stream via a residual connection and layer normalization, following standard Transformer residual design, and the resulting fused CLS tokens from each stream are concatenated and passed through the same fusion MLP as in Rung 1. This allows each modality's representation, at every position and every layer of pooling, to be dynamically informed by the other modality's content — for example, allowing a particular day's technical pattern to be reweighted based on the concurrent fundamental/macro context, and vice versa — which static concatenation cannot represent.</w:t>
      </w:r>
    </w:p>
    <w:p>
      <w:pPr>
        <w:pStyle w:val="Heading3"/>
        <w:spacing w:after="120" w:before="240"/>
      </w:pPr>
      <w:r>
        <w:rPr>
          <w:b/>
          <w:bCs/>
          <w:i/>
          <w:iCs/>
        </w:rPr>
        <w:t xml:space="preserve">Rung 3 — Gated cross-attention (context-dependent fusion)</w:t>
      </w:r>
    </w:p>
    <w:p>
      <w:pPr>
        <w:spacing w:after="200" w:line="360"/>
        <w:jc w:val="both"/>
      </w:pPr>
      <w:r>
        <w:rPr>
          <w:sz w:val="22"/>
          <w:szCs w:val="22"/>
        </w:rPr>
        <w:t xml:space="preserve">The third and most sophisticated rung, adapted from the Multi-Source Gated Cross-Attention (MSGCA) design of Zong and Zhou (2024) (Section 2.5), augments the bidirectional cross-attention of Rung 2 with a learnable gate. For each stream, a linear layer takes the concatenation of the stream's own (pre-cross-attention) representation and its cross-attention output, and passes this through a sigmoid activation to produce a gate value in (0, 1), separately for every token and every training example:</w:t>
      </w:r>
    </w:p>
    <w:p>
      <w:pPr>
        <w:spacing w:after="120" w:before="120"/>
        <w:jc w:val="center"/>
      </w:pPr>
      <w:r>
        <w:rPr>
          <w:rFonts w:ascii="Courier New" w:cs="Courier New" w:eastAsia="Courier New" w:hAnsi="Courier New"/>
          <w:i/>
          <w:iCs/>
          <w:sz w:val="22"/>
          <w:szCs w:val="22"/>
        </w:rPr>
        <w:t xml:space="preserve">g_tech = σ( W_t · [ h_tech ; attn_(tech→fund) ] )</w:t>
      </w:r>
    </w:p>
    <w:p>
      <w:pPr>
        <w:spacing w:after="120" w:before="120"/>
        <w:jc w:val="center"/>
      </w:pPr>
      <w:r>
        <w:rPr>
          <w:rFonts w:ascii="Courier New" w:cs="Courier New" w:eastAsia="Courier New" w:hAnsi="Courier New"/>
          <w:i/>
          <w:iCs/>
          <w:sz w:val="22"/>
          <w:szCs w:val="22"/>
        </w:rPr>
        <w:t xml:space="preserve">g_fund = σ( W_f · [ h_fund ; attn_(fund→tech) ] )</w:t>
      </w:r>
    </w:p>
    <w:p>
      <w:pPr>
        <w:spacing w:after="120" w:before="120"/>
        <w:jc w:val="center"/>
      </w:pPr>
      <w:r>
        <w:rPr>
          <w:rFonts w:ascii="Courier New" w:cs="Courier New" w:eastAsia="Courier New" w:hAnsi="Courier New"/>
          <w:i/>
          <w:iCs/>
          <w:sz w:val="22"/>
          <w:szCs w:val="22"/>
        </w:rPr>
        <w:t xml:space="preserve">h_tech′ = LayerNorm( h_tech + g_tech ⊙ attn_(tech→fund) )</w:t>
      </w:r>
    </w:p>
    <w:p>
      <w:pPr>
        <w:spacing w:after="120" w:before="120"/>
        <w:jc w:val="center"/>
      </w:pPr>
      <w:r>
        <w:rPr>
          <w:rFonts w:ascii="Courier New" w:cs="Courier New" w:eastAsia="Courier New" w:hAnsi="Courier New"/>
          <w:i/>
          <w:iCs/>
          <w:sz w:val="22"/>
          <w:szCs w:val="22"/>
        </w:rPr>
        <w:t xml:space="preserve">h_fund′ = LayerNorm( h_fund + g_fund ⊙ attn_(fund→tech) )</w:t>
      </w:r>
    </w:p>
    <w:p>
      <w:pPr>
        <w:spacing w:after="200" w:line="360"/>
        <w:jc w:val="both"/>
      </w:pPr>
      <w:r>
        <w:rPr>
          <w:sz w:val="22"/>
          <w:szCs w:val="22"/>
        </w:rPr>
        <w:t xml:space="preserve">Intuitively, a gate value near zero suppresses the cross-modal signal for that token/example (the model "ignores" the other modality in that context), while a gate value near one admits it fully, matching Rung 2's behavior; the gate's weights are initialized at zero so that training begins from a neutral, near-Rung-2 starting point rather than an arbitrary one. This mechanism directly operationalizes the hypothesis from Section 2.5 that the reliability of cross-modal information is itself context-dependent — for instance, potentially admitting more fundamental-side signal during a slow-moving, macro-driven episode and suppressing it during a fast, purely technical sell-off — a form of context-sensitivity that plain cross-attention, which always mixes the two streams with the same implicit weighting, cannot express. The mean gate value in each direction is logged after training as a simple, directly interpretable diagnostic of how much cross-modal mixing the model has learned to perform.</w:t>
      </w:r>
    </w:p>
    <w:p>
      <w:pPr>
        <w:spacing w:after="240" w:before="120"/>
        <w:jc w:val="center"/>
      </w:pPr>
      <w:r>
        <w:rPr>
          <w:i/>
          <w:iCs/>
          <w:color w:val="1F5FA8"/>
          <w:sz w:val="21"/>
          <w:szCs w:val="21"/>
        </w:rPr>
        <w:t xml:space="preserve">[Şekil 4.5: Füzyon merdiveni şeması — concat → cross-attention → gated cross-attention, her basamağın veri akışı]</w:t>
      </w:r>
    </w:p>
    <w:p>
      <w:pPr>
        <w:spacing w:after="240" w:before="120"/>
        <w:jc w:val="center"/>
      </w:pPr>
      <w:r>
        <w:rPr>
          <w:i/>
          <w:iCs/>
          <w:color w:val="1F5FA8"/>
          <w:sz w:val="21"/>
          <w:szCs w:val="21"/>
        </w:rPr>
        <w:t xml:space="preserve">[Tablo 4.4: Füzyon merdiveni ablasyonunda sabit tutulan mimari ayarlar (d_model, n_layers, dropout, epochs) — sadece füzyon mekanizmasının değiştiği teyit tablosu]</w:t>
      </w:r>
    </w:p>
    <w:p>
      <w:pPr>
        <w:pStyle w:val="Heading2"/>
        <w:spacing w:after="160" w:before="320"/>
      </w:pPr>
      <w:r>
        <w:rPr>
          <w:b/>
          <w:bCs/>
        </w:rPr>
        <w:t xml:space="preserve">4.10 Loss Function: Focal Loss for Imbalanced Sequence Classification</w:t>
      </w:r>
    </w:p>
    <w:p>
      <w:pPr>
        <w:spacing w:after="200" w:line="360"/>
        <w:jc w:val="both"/>
      </w:pPr>
      <w:r>
        <w:rPr>
          <w:sz w:val="22"/>
          <w:szCs w:val="22"/>
        </w:rPr>
        <w:t xml:space="preserve">All neural architectures are trained with Focal Loss (Lin, Goyal, Girshick, He, &amp; Dollár, 2017) in place of plain binary cross-entropy. Originally proposed to address extreme foreground–background imbalance in object detection, Focal Loss down-weights the contribution of well-classified ("easy") examples so that training focuses disproportionately on hard, typically minority-class, examples:</w:t>
      </w:r>
    </w:p>
    <w:p>
      <w:pPr>
        <w:spacing w:after="120" w:before="120"/>
        <w:jc w:val="center"/>
      </w:pPr>
      <w:r>
        <w:rPr>
          <w:rFonts w:ascii="Courier New" w:cs="Courier New" w:eastAsia="Courier New" w:hAnsi="Courier New"/>
          <w:i/>
          <w:iCs/>
          <w:sz w:val="22"/>
          <w:szCs w:val="22"/>
        </w:rPr>
        <w:t xml:space="preserve">FL(p_t) = − α_t · (1 − p_t)^γ · log(p_t)</w:t>
      </w:r>
    </w:p>
    <w:p>
      <w:pPr>
        <w:spacing w:after="200" w:line="360"/>
        <w:jc w:val="both"/>
      </w:pPr>
      <w:r>
        <w:rPr>
          <w:sz w:val="22"/>
          <w:szCs w:val="22"/>
        </w:rPr>
        <w:t xml:space="preserve">where p_t is the model's predicted probability for the true class, γ (set to 2.0 throughout, the value recommended by Lin et al., 2017) is a focusing parameter that increases the down-weighting of easy examples as it grows, and α_t is a per-class weighting term set, for the positive class, to the ratio of negative to positive examples observed in the training data (recomputed for each experiment from the actual training-set class balance, rather than hardcoded, so that it remains valid if the universe or feature set changes). This combines two complementary imbalance-handling mechanisms in a single objective: the α term reweights classes similarly to a standard weighted cross-entropy, while the (1 − p_t)^γ focusing term additionally suppresses the very large number of confidently correct "stable" predictions that would otherwise dominate the gradient.</w:t>
      </w:r>
    </w:p>
    <w:p>
      <w:pPr>
        <w:pStyle w:val="Heading2"/>
        <w:spacing w:after="160" w:before="320"/>
      </w:pPr>
      <w:r>
        <w:rPr>
          <w:b/>
          <w:bCs/>
        </w:rPr>
        <w:t xml:space="preserve">4.11 Training Procedure, Optimization, and Learning Rate Scheduling</w:t>
      </w:r>
    </w:p>
    <w:p>
      <w:pPr>
        <w:spacing w:after="200" w:line="360"/>
        <w:jc w:val="both"/>
      </w:pPr>
      <w:r>
        <w:rPr>
          <w:sz w:val="22"/>
          <w:szCs w:val="22"/>
        </w:rPr>
        <w:t xml:space="preserve">All neural models are optimized with AdamW, gradient norms clipped to a maximum of 1.0 for training stability, and trained for up to 30–40 epochs (architecture-dependent) with early stopping on validation PR-AUC (patience of 4 to 8 epochs depending on configuration), reloading the best-validation-PR-AUC checkpoint before final evaluation. Two learning-rate schedules are compared as part of this thesis's ablation design (Section 4.14): a default ReduceLROnPlateau schedule that halves the learning rate after four epochs without validation improvement; and a linear-warmup-plus-cosine-annealing schedule, in which the learning rate rises linearly from zero over an initial warmup period (typically three epochs) before decaying smoothly to a small fraction of its peak value following a cosine curve. The warmup-plus-cosine schedule follows a widely adopted Transformer-training convention, motivated by the empirical observation — attested since Vaswani et al. (2017) and standard in subsequent large-scale Transformer training recipes such as BERT and the Vision Transformer — that Transformers can be unstable in their first few epochs of training, when attention weights are still close to their random initialization; a short warmup period is intended to avoid destabilizing large gradient steps during this initial phase.</w:t>
      </w:r>
    </w:p>
    <w:p>
      <w:pPr>
        <w:spacing w:after="200" w:line="360"/>
        <w:jc w:val="both"/>
      </w:pPr>
      <w:r>
        <w:rPr>
          <w:sz w:val="22"/>
          <w:szCs w:val="22"/>
        </w:rPr>
        <w:t xml:space="preserve">A specific, documented instance of iterative, diagnostics-driven model development is worth describing explicitly, as it directly motivated part of this thesis's methodology. An initial cross-attention configuration (d_model = 64, 2 layers, dropout 0.15, learning rate 1e-4) exhibited a pronounced train–validation gap after only a handful of epochs — training PR-AUC near 0.85 alongside validation PR-AUC near 0.18 — a clear symptom of overfitting given the model's capacity relative to the effective size and noise level of the training signal. A regularized configuration was subsequently developed, reducing model capacity (d_model 64 → 48, encoder layers 2 → 1, feed-forward dimension 256 → 128), increasing dropout (0.15 → 0.30) and weight decay (1e-2 → 5e-2), reducing the learning rate (1e-4 → 3e-5), and tightening the early-stopping patience (8 → 4 epochs) to halt training closer to the point of best validation performance. This regularized configuration, and its warmup-schedule variant, are carried through to the fusion-ladder ablation (Section 4.14) as an explicit test of whether reduced-capacity, more heavily regularized models generalize more reliably from the validation period to the chronologically later, regime-shifted test period.</w:t>
      </w:r>
    </w:p>
    <w:p>
      <w:pPr>
        <w:spacing w:after="240" w:before="120"/>
        <w:jc w:val="center"/>
      </w:pPr>
      <w:r>
        <w:rPr>
          <w:i/>
          <w:iCs/>
          <w:color w:val="1F5FA8"/>
          <w:sz w:val="21"/>
          <w:szCs w:val="21"/>
        </w:rPr>
        <w:t xml:space="preserve">[Şekil 4.6: Öğrenme eğrileri (train/val loss, ROC-AUC, PR-AUC vs. epoch) — düzenlenmemiş vs. düzenlenmiş (regularized) konfigürasyon karşılaştırması]</w:t>
      </w:r>
    </w:p>
    <w:p>
      <w:pPr>
        <w:pStyle w:val="Heading2"/>
        <w:spacing w:after="160" w:before="320"/>
      </w:pPr>
      <w:r>
        <w:rPr>
          <w:b/>
          <w:bCs/>
        </w:rPr>
        <w:t xml:space="preserve">4.12 Decision Threshold Selection via Matthews Correlation Coefficient</w:t>
      </w:r>
    </w:p>
    <w:p>
      <w:pPr>
        <w:spacing w:after="200" w:line="360"/>
        <w:jc w:val="both"/>
      </w:pPr>
      <w:r>
        <w:rPr>
          <w:sz w:val="22"/>
          <w:szCs w:val="22"/>
        </w:rPr>
        <w:t xml:space="preserve">Every model in this thesis — XGBoost and every neural configuration alike — selects its binary decision threshold by the same procedure, applied only to the validation period's predicted probabilities, and never re-tuned on the test period. Approximately 300 candidate thresholds are evaluated, spanning the empirical range between the 0.5th and 99.5th percentiles of the validation score distribution (rather than the full [0, 1] range, which is typically dominated by empty regions for a well-calibrated but imbalanced classifier); candidate thresholds that would classify every validation example as a single class are discarded as degenerate, and the Matthews Correlation Coefficient (MCC; Matthews, 1975) is computed at each remaining candidate, with the threshold achieving the highest validation MCC retained as the model's fixed operating point, subsequently applied unchanged to the test period.</w:t>
      </w:r>
    </w:p>
    <w:p>
      <w:pPr>
        <w:spacing w:after="200" w:line="360"/>
        <w:jc w:val="both"/>
      </w:pPr>
      <w:r>
        <w:rPr>
          <w:sz w:val="22"/>
          <w:szCs w:val="22"/>
        </w:rPr>
        <w:t xml:space="preserve">This choice — MCC rather than the arguably more common F1-maximizing threshold — follows directly from Chicco and Jurman's (2020) argument (Section 2.7) that F1 and accuracy can be misleadingly optimistic under class imbalance, because both ignore the true-negative count entirely. In this dataset's own diagnostics, an F1-maximizing threshold was observed to drift toward a high-recall, low-precision operating point that a naïve "flag nearly everything as at-risk" classifier could approach even without genuine discriminative skill, given the roughly one-eighth positive base rate; MCC, using all four confusion-matrix cells, penalizes such degenerate solutions and was therefore adopted as both the threshold-selection criterion and the primary threshold-dependent reporting metric throughout this thesis.</w:t>
      </w:r>
    </w:p>
    <w:p>
      <w:pPr>
        <w:pStyle w:val="Heading2"/>
        <w:spacing w:after="160" w:before="320"/>
      </w:pPr>
      <w:r>
        <w:rPr>
          <w:b/>
          <w:bCs/>
        </w:rPr>
        <w:t xml:space="preserve">4.13 Evaluation Metrics</w:t>
      </w:r>
    </w:p>
    <w:p>
      <w:pPr>
        <w:spacing w:after="200" w:line="360"/>
        <w:jc w:val="both"/>
      </w:pPr>
      <w:r>
        <w:rPr>
          <w:sz w:val="22"/>
          <w:szCs w:val="22"/>
        </w:rPr>
        <w:t xml:space="preserve">Model performance is evaluated using two categories of metrics. Threshold-independent ranking metrics — the area under the ROC curve (ROC-AUC) and the area under the precision–recall curve (PR-AUC, equivalently average precision) — are computed directly from predicted probabilities and do not depend on the threshold-selection procedure of Section 4.12; consistent with Davis and Goadrich (2006), PR-AUC is treated as the primary ranking metric given the roughly one-eighth positive base rate, with ROC-AUC reported secondarily for comparability with the broader literature, much of which reports ROC-AUC by default. Threshold-dependent metrics — accuracy, MCC, precision, recall, and F1-score — are computed at the validation-selected MCC-optimal threshold (Section 4.12), applied identically to the validation and test periods.</w:t>
      </w:r>
    </w:p>
    <w:p>
      <w:pPr>
        <w:spacing w:after="200" w:line="360"/>
        <w:jc w:val="both"/>
      </w:pPr>
      <w:r>
        <w:rPr>
          <w:sz w:val="22"/>
          <w:szCs w:val="22"/>
        </w:rPr>
        <w:t xml:space="preserve">For every model, this thesis explicitly computes and reports the validation-to-test generalization gap for each metric (test value minus validation value), rather than reporting test performance in isolation. Given that the validation period (2020–2021) and the test period (2022–2024) correspond to different, non-overlapping market regimes (Section 3.7), a large negative gap is treated as an informative diagnostic of overfitting or regime-sensitivity, rather than as an incidental detail; this generalization-gap reporting is applied uniformly to XGBoost and to every neural configuration, allowing a like-for-like comparison of not just point performance but of performance stability across a genuine regime shift.</w:t>
      </w:r>
    </w:p>
    <w:p>
      <w:pPr>
        <w:spacing w:after="240" w:before="120"/>
        <w:jc w:val="center"/>
      </w:pPr>
      <w:r>
        <w:rPr>
          <w:i/>
          <w:iCs/>
          <w:color w:val="1F5FA8"/>
          <w:sz w:val="21"/>
          <w:szCs w:val="21"/>
        </w:rPr>
        <w:t xml:space="preserve">[Şekil 4.7: Karşılaştırılan modeller için Precision–Recall eğrileri (validation ve test setleri üst üste)]</w:t>
      </w:r>
    </w:p>
    <w:p>
      <w:pPr>
        <w:spacing w:after="240" w:before="120"/>
        <w:jc w:val="center"/>
      </w:pPr>
      <w:r>
        <w:rPr>
          <w:i/>
          <w:iCs/>
          <w:color w:val="1F5FA8"/>
          <w:sz w:val="21"/>
          <w:szCs w:val="21"/>
        </w:rPr>
        <w:t xml:space="preserve">[Şekil 4.8: En iyi performans gösteren model için confusion matrix (validation ve test)]</w:t>
      </w:r>
    </w:p>
    <w:p>
      <w:pPr>
        <w:pStyle w:val="Heading2"/>
        <w:spacing w:after="160" w:before="320"/>
      </w:pPr>
      <w:r>
        <w:rPr>
          <w:b/>
          <w:bCs/>
        </w:rPr>
        <w:t xml:space="preserve">4.14 Ablation Design and Robustness Checks</w:t>
      </w:r>
    </w:p>
    <w:p>
      <w:pPr>
        <w:spacing w:after="200" w:line="360"/>
        <w:jc w:val="both"/>
      </w:pPr>
      <w:r>
        <w:rPr>
          <w:sz w:val="22"/>
          <w:szCs w:val="22"/>
        </w:rPr>
        <w:t xml:space="preserve">Beyond the fusion-ladder and modality ablations already described (Sections 4.8–4.9), this thesis incorporates two further layers of methodological rigor aimed specifically at avoiding overstated or seed-dependent conclusions, an especially salient risk given the relatively small number of genuinely independent crash episodes in the sample.</w:t>
      </w:r>
    </w:p>
    <w:p>
      <w:pPr>
        <w:pStyle w:val="Heading3"/>
        <w:spacing w:after="120" w:before="240"/>
      </w:pPr>
      <w:r>
        <w:rPr>
          <w:b/>
          <w:bCs/>
          <w:i/>
          <w:iCs/>
        </w:rPr>
        <w:t xml:space="preserve">Multi-seed robustness</w:t>
      </w:r>
    </w:p>
    <w:p>
      <w:pPr>
        <w:spacing w:after="200" w:line="360"/>
        <w:jc w:val="both"/>
      </w:pPr>
      <w:r>
        <w:rPr>
          <w:sz w:val="22"/>
          <w:szCs w:val="22"/>
        </w:rPr>
        <w:t xml:space="preserve">Because the neural training pipeline's only source of run-to-run randomness — weight initialization, dropout masks, and the random draws used by the training-set oversampler — was not otherwise controlled, a single training run's result is not, by itself, reproducible or statistically distinguishable from noise. To address this, the fusion-ladder comparison (concatenation vs. cross-attention vs. gated cross-attention) is repeated across five fixed random seeds, holding the data loaders themselves fixed across seeds (so that seed-to-seed variation reflects only the model's own stochasticity, not a different resampling of the data) and reporting the mean, standard deviation, minimum, and maximum of each metric across seeds, together with a paired, seed-by-seed comparison (for example, of gated cross-attention against plain cross-attention on identical seeds) and a simple paired effect size (Cohen's d). This directly addresses a specific, documented concern in this thesis's development: an initial single-run advantage of gated over plain cross-attention of 0.006 MCC is, on its own, indistinguishable from seed noise, and only a multi-seed comparison can support or refute a genuine architectural advantage.</w:t>
      </w:r>
    </w:p>
    <w:p>
      <w:pPr>
        <w:pStyle w:val="Heading3"/>
        <w:spacing w:after="120" w:before="240"/>
      </w:pPr>
      <w:r>
        <w:rPr>
          <w:b/>
          <w:bCs/>
          <w:i/>
          <w:iCs/>
        </w:rPr>
        <w:t xml:space="preserve">Post hoc calibration: seed-ensembling and percentile-based thresholding</w:t>
      </w:r>
    </w:p>
    <w:p>
      <w:pPr>
        <w:spacing w:after="200" w:line="360"/>
        <w:jc w:val="both"/>
      </w:pPr>
      <w:r>
        <w:rPr>
          <w:sz w:val="22"/>
          <w:szCs w:val="22"/>
        </w:rPr>
        <w:t xml:space="preserve">A separate robustness analysis evaluates two retraining-free adjustments, applied identically to both the XGBoost baseline and the neural architectures for fairness: seed-ensembling, which averages predicted probabilities across the five random-seed runs described above (analogous to a simple bagging step); and percentile-based thresholding, which, instead of fixing a single score cutoff selected on validation data, selects the validation-optimal fraction of examples to flag as "at risk" (for example, the riskiest 12% by predicted score) and applies that same fraction — rather than the same absolute score cutoff — to the test period. The latter is motivated by the observation that the validation period (2020–2021) and test period (2022–2024) correspond to different volatility regimes, so that a fixed probability cutoff calibrated on one regime may flag a very different, and potentially far less useful, fraction of observations once the underlying score distribution shifts in the other; a percentile-based rule is, by construction, more robust to this kind of distributional shift, at the cost of requiring the score ranking (rather than its absolute calibration) to remain informative across the shift. As with every other threshold-related choice in this thesis, both the fixed cutoff and the percentile are selected using validation data exclusively, with the test period touched only once, for final evaluation, after the choice is fixed.</w:t>
      </w:r>
    </w:p>
    <w:p>
      <w:pPr>
        <w:spacing w:after="200" w:line="360"/>
        <w:jc w:val="both"/>
      </w:pPr>
      <w:r>
        <w:rPr>
          <w:sz w:val="22"/>
          <w:szCs w:val="22"/>
        </w:rPr>
        <w:t xml:space="preserve">Finally, to keep the XGBoost-versus-neural-network comparison fair once ensembling is introduced, the XGBoost baseline is likewise retrained across the same five seeds when compared against a seed-ensembled neural model, and the two families' effective test samples are explicitly aligned: because the sequence-based neural architectures cannot form a valid 20-day window for each ticker's first 19 trading days (Section 4.5), the flat XGBoost evaluation set is restricted to the identical ticker-date pairs used by the sequence models whenever the two are compared directly, so that any performance difference reflects genuine modeling differences rather than a difference in the effective evaluation sample.</w:t>
      </w:r>
    </w:p>
    <w:p>
      <w:pPr>
        <w:pStyle w:val="Heading2"/>
        <w:spacing w:after="160" w:before="320"/>
      </w:pPr>
      <w:r>
        <w:rPr>
          <w:b/>
          <w:bCs/>
        </w:rPr>
        <w:t xml:space="preserve">4.15 Implementation and Computational Environment</w:t>
      </w:r>
    </w:p>
    <w:p>
      <w:pPr>
        <w:spacing w:after="200" w:line="360"/>
        <w:jc w:val="both"/>
      </w:pPr>
      <w:r>
        <w:rPr>
          <w:sz w:val="22"/>
          <w:szCs w:val="22"/>
        </w:rPr>
        <w:t xml:space="preserve">The full pipeline is implemented in Python. Data acquisition uses the official wrds client library to query CRSP, Compustat, and CBOE tables directly via SQL against the WRDS PostgreSQL backend, and the yfinance library for the supplementary Treasury-yield series (Section 3.1). Technical indicators are computed with TA-Lib where the compiled library is available in the runtime environment, falling back to hand-implemented pandas/NumPy equivalents otherwise (Section 4.2), so that the pipeline remains fully runnable in restricted environments (e.g., a continuous-integration container) without a TA-Lib binary. Feature scaling and median imputation use scikit-learn's RobustScaler; training-set oversampling uses imbalanced-learn's RandomOverSampler, with a PyTorch WeightedRandomSampler fallback (Section 4.6).</w:t>
      </w:r>
    </w:p>
    <w:p>
      <w:pPr>
        <w:spacing w:after="200" w:line="360"/>
        <w:jc w:val="both"/>
      </w:pPr>
      <w:r>
        <w:rPr>
          <w:sz w:val="22"/>
          <w:szCs w:val="22"/>
        </w:rPr>
        <w:t xml:space="preserve">The XGBoost baseline (Section 4.7) uses the official xgboost Python package together with Optuna for Bayesian hyperparameter search and the shap package for post hoc interpretability. The neural architectures (Sections 4.8–4.11) are implemented directly in PyTorch, using its native nn.TransformerEncoderLayer and nn.MultiheadAttention modules as the building blocks for the single- and dual-encoder Transformers and their cross-attention fusion mechanisms, and are trained on Apple Silicon (MPS backend) with automatic fallback to CUDA or CPU depending on the runtime device, so that the same training code runs unmodified across development and any eventual GPU-accelerated environment. Every experiment's configuration, best checkpoint, and evaluation summary are persisted to disk (under checkpoints/ and results/) as part of the pipeline's own run, so that every reported number in this thesis is traceable to a specific, re-runnable configuration rather than to an ad hoc, undocumented script execution.</w:t>
      </w:r>
    </w:p>
    <w:p>
      <w:pPr>
        <w:spacing w:after="200" w:line="360"/>
        <w:jc w:val="both"/>
      </w:pPr>
      <w:r>
        <w:rPr>
          <w:sz w:val="22"/>
          <w:szCs w:val="22"/>
        </w:rPr>
        <w:t xml:space="preserve">Beyond the core pipeline described in this chapter, the project repository also contains exploratory, not-yet-integrated extensions noted for completeness but outside the scope of the results presented in this thesis: a graph-attention-network (GAT) branch exploring inter-firm relational structure, and a text-sentiment branch applying a finance-domain language model (FinBERT) to SEC 8-K filing text for a small pilot subset of tickers. Neither extension currently feeds into the technical or fundamental feature streams described in Sections 4.2–4.3, and both are flagged in Section 1.6 as directions for future work (Chapter 7) rather than as components of the evaluated architecture.</w:t>
      </w:r>
    </w:p>
    <w:p>
      <w:pPr>
        <w:pStyle w:val="Heading1"/>
        <w:spacing w:after="240" w:before="480"/>
      </w:pPr>
      <w:r>
        <w:rPr>
          <w:b/>
          <w:bCs/>
        </w:rPr>
        <w:t xml:space="preserve">References</w:t>
      </w:r>
    </w:p>
    <w:p>
      <w:pPr>
        <w:spacing w:after="160"/>
        <w:ind w:left="360" w:hanging="360"/>
      </w:pPr>
      <w:r>
        <w:rPr>
          <w:sz w:val="21"/>
          <w:szCs w:val="21"/>
        </w:rPr>
        <w:t xml:space="preserve">Bergmeir, C., &amp; Benítez, J. M. (2012). On the use of cross-validation for time series predictor evaluation. Information Sciences, 191, 192–213. https://doi.org/10.1016/j.ins.2011.12.028</w:t>
      </w:r>
    </w:p>
    <w:p>
      <w:pPr>
        <w:spacing w:after="160"/>
        <w:ind w:left="360" w:hanging="360"/>
      </w:pPr>
      <w:r>
        <w:rPr>
          <w:sz w:val="21"/>
          <w:szCs w:val="21"/>
        </w:rPr>
        <w:t xml:space="preserve">Breiman, L. (2001). Random forests. Machine Learning, 45(1), 5–32. https://doi.org/10.1023/A:1010933404324</w:t>
      </w:r>
    </w:p>
    <w:p>
      <w:pPr>
        <w:spacing w:after="160"/>
        <w:ind w:left="360" w:hanging="360"/>
      </w:pPr>
      <w:r>
        <w:rPr>
          <w:sz w:val="21"/>
          <w:szCs w:val="21"/>
        </w:rPr>
        <w:t xml:space="preserve">Chatzis, S. P., Siakoulis, V., Petropoulos, A., Stavroulakis, E., &amp; Vlachogiannakis, N. (2018). Forecasting stock market crisis events using deep and statistical machine learning techniques. Expert Systems with Applications, 112, 353–371. https://doi.org/10.1016/j.eswa.2018.06.032</w:t>
      </w:r>
    </w:p>
    <w:p>
      <w:pPr>
        <w:spacing w:after="160"/>
        <w:ind w:left="360" w:hanging="360"/>
      </w:pPr>
      <w:r>
        <w:rPr>
          <w:sz w:val="21"/>
          <w:szCs w:val="21"/>
        </w:rPr>
        <w:t xml:space="preserve">Chawla, N. V., Bowyer, K. W., Hall, L. O., &amp; Kegelmeyer, W. P. (2002). SMOTE: Synthetic minority over-sampling technique. Journal of Artificial Intelligence Research, 16, 321–357. https://doi.org/10.1613/jair.953</w:t>
      </w:r>
    </w:p>
    <w:p>
      <w:pPr>
        <w:spacing w:after="160"/>
        <w:ind w:left="360" w:hanging="360"/>
      </w:pPr>
      <w:r>
        <w:rPr>
          <w:sz w:val="21"/>
          <w:szCs w:val="21"/>
        </w:rPr>
        <w:t xml:space="preserve">Chen, J., Hong, H., &amp; Stein, J. C. (2001). Forecasting crashes: Trading volume, past returns, and conditional skewness in stock prices. Journal of Financial Economics, 61(3), 345–381. https://doi.org/10.1016/S0304-405X(01)00066-6</w:t>
      </w:r>
    </w:p>
    <w:p>
      <w:pPr>
        <w:spacing w:after="160"/>
        <w:ind w:left="360" w:hanging="360"/>
      </w:pPr>
      <w:r>
        <w:rPr>
          <w:sz w:val="21"/>
          <w:szCs w:val="21"/>
        </w:rPr>
        <w:t xml:space="preserve">Chen, T., &amp; Guestrin, C. (2016). XGBoost: A scalable tree boosting system. In Proceedings of the 22nd ACM SIGKDD International Conference on Knowledge Discovery and Data Mining (pp. 785–794). Association for Computing Machinery. https://doi.org/10.1145/2939672.2939785</w:t>
      </w:r>
    </w:p>
    <w:p>
      <w:pPr>
        <w:spacing w:after="160"/>
        <w:ind w:left="360" w:hanging="360"/>
      </w:pPr>
      <w:r>
        <w:rPr>
          <w:sz w:val="21"/>
          <w:szCs w:val="21"/>
        </w:rPr>
        <w:t xml:space="preserve">Chicco, D., &amp; Jurman, G. (2020). The advantages of the Matthews correlation coefficient (MCC) over F1 score and accuracy in binary classification evaluation. BMC Genomics, 21, Article 6. https://doi.org/10.1186/s12864-019-6413-7</w:t>
      </w:r>
    </w:p>
    <w:p>
      <w:pPr>
        <w:spacing w:after="160"/>
        <w:ind w:left="360" w:hanging="360"/>
      </w:pPr>
      <w:r>
        <w:rPr>
          <w:sz w:val="21"/>
          <w:szCs w:val="21"/>
        </w:rPr>
        <w:t xml:space="preserve">Davis, J., &amp; Goadrich, M. (2006). The relationship between precision-recall and ROC curves. In Proceedings of the 23rd International Conference on Machine Learning (pp. 233–240). Association for Computing Machinery. https://doi.org/10.1145/1143844.1143874</w:t>
      </w:r>
    </w:p>
    <w:p>
      <w:pPr>
        <w:spacing w:after="160"/>
        <w:ind w:left="360" w:hanging="360"/>
      </w:pPr>
      <w:r>
        <w:rPr>
          <w:sz w:val="21"/>
          <w:szCs w:val="21"/>
        </w:rPr>
        <w:t xml:space="preserve">Dichtl, H., Drobetz, W., &amp; Otto, T. (2023). Forecasting stock market crashes via machine learning. Journal of Financial Stability, 65, Article 101099. https://doi.org/10.1016/j.jfs.2022.101099</w:t>
      </w:r>
    </w:p>
    <w:p>
      <w:pPr>
        <w:spacing w:after="160"/>
        <w:ind w:left="360" w:hanging="360"/>
      </w:pPr>
      <w:r>
        <w:rPr>
          <w:sz w:val="21"/>
          <w:szCs w:val="21"/>
        </w:rPr>
        <w:t xml:space="preserve">Fama, E. F., &amp; French, K. R. (1997). Industry costs of equity. Journal of Financial Economics, 43(2), 153–193. https://doi.org/10.1016/S0304-405X(96)00896-3</w:t>
      </w:r>
    </w:p>
    <w:p>
      <w:pPr>
        <w:spacing w:after="160"/>
        <w:ind w:left="360" w:hanging="360"/>
      </w:pPr>
      <w:r>
        <w:rPr>
          <w:sz w:val="21"/>
          <w:szCs w:val="21"/>
        </w:rPr>
        <w:t xml:space="preserve">Gu, S., Kelly, B., &amp; Xiu, D. (2020). Empirical asset pricing via machine learning. The Review of Financial Studies, 33(5), 2223–2273. https://doi.org/10.1093/rfs/hhaa009</w:t>
      </w:r>
    </w:p>
    <w:p>
      <w:pPr>
        <w:spacing w:after="160"/>
        <w:ind w:left="360" w:hanging="360"/>
      </w:pPr>
      <w:r>
        <w:rPr>
          <w:sz w:val="21"/>
          <w:szCs w:val="21"/>
        </w:rPr>
        <w:t xml:space="preserve">Kindleberger, C. P., &amp; Aliber, R. Z. (2015). Manias, panics, and crashes: A history of financial crises (7th ed.). Palgrave Macmillan.</w:t>
      </w:r>
    </w:p>
    <w:p>
      <w:pPr>
        <w:spacing w:after="160"/>
        <w:ind w:left="360" w:hanging="360"/>
      </w:pPr>
      <w:r>
        <w:rPr>
          <w:sz w:val="21"/>
          <w:szCs w:val="21"/>
        </w:rPr>
        <w:t xml:space="preserve">Lin, T.-Y., Goyal, P., Girshick, R., He, K., &amp; Dollár, P. (2017). Focal loss for dense object detection. In Proceedings of the IEEE International Conference on Computer Vision (pp. 2980–2988). IEEE. https://doi.org/10.1109/ICCV.2017.324</w:t>
      </w:r>
    </w:p>
    <w:p>
      <w:pPr>
        <w:spacing w:after="160"/>
        <w:ind w:left="360" w:hanging="360"/>
      </w:pPr>
      <w:r>
        <w:rPr>
          <w:sz w:val="21"/>
          <w:szCs w:val="21"/>
        </w:rPr>
        <w:t xml:space="preserve">Matthews, B. W. (1975). Comparison of the predicted and observed secondary structure of T4 phage lysozyme. Biochimica et Biophysica Acta (Protein Structure), 405(2), 442–451. https://doi.org/10.1016/0005-2795(75)90109-9</w:t>
      </w:r>
    </w:p>
    <w:p>
      <w:pPr>
        <w:spacing w:after="160"/>
        <w:ind w:left="360" w:hanging="360"/>
      </w:pPr>
      <w:r>
        <w:rPr>
          <w:sz w:val="21"/>
          <w:szCs w:val="21"/>
        </w:rPr>
        <w:t xml:space="preserve">Minsky, H. P. (1992). The financial instability hypothesis (Working Paper No. 74). Levy Economics Institute of Bard College.</w:t>
      </w:r>
    </w:p>
    <w:p>
      <w:pPr>
        <w:spacing w:after="160"/>
        <w:ind w:left="360" w:hanging="360"/>
      </w:pPr>
      <w:r>
        <w:rPr>
          <w:sz w:val="21"/>
          <w:szCs w:val="21"/>
        </w:rPr>
        <w:t xml:space="preserve">Patel, J., Shah, S., Thakkar, P., &amp; Kotecha, K. (2015). Predicting stock market index using fusion of machine learning techniques. Expert Systems with Applications, 42(4), 2162–2172. https://doi.org/10.1016/j.eswa.2014.10.031</w:t>
      </w:r>
    </w:p>
    <w:p>
      <w:pPr>
        <w:spacing w:after="160"/>
        <w:ind w:left="360" w:hanging="360"/>
      </w:pPr>
      <w:r>
        <w:rPr>
          <w:sz w:val="21"/>
          <w:szCs w:val="21"/>
        </w:rPr>
        <w:t xml:space="preserve">Reinhart, C. M., &amp; Rogoff, K. S. (2009). This time is different: Eight centuries of financial folly. Princeton University Press.</w:t>
      </w:r>
    </w:p>
    <w:p>
      <w:pPr>
        <w:spacing w:after="160"/>
        <w:ind w:left="360" w:hanging="360"/>
      </w:pPr>
      <w:r>
        <w:rPr>
          <w:sz w:val="21"/>
          <w:szCs w:val="21"/>
        </w:rPr>
        <w:t xml:space="preserve">Vaswani, A., Shazeer, N., Parmar, N., Uszkoreit, J., Jones, L., Gomez, A. N., Kaiser, Ł., &amp; Polosukhin, I. (2017). Attention is all you need. In Advances in Neural Information Processing Systems 30 (NeurIPS 2017) (pp. 5998–6008). Curran Associates.</w:t>
      </w:r>
    </w:p>
    <w:p>
      <w:pPr>
        <w:spacing w:after="160"/>
        <w:ind w:left="360" w:hanging="360"/>
      </w:pPr>
      <w:r>
        <w:rPr>
          <w:sz w:val="21"/>
          <w:szCs w:val="21"/>
        </w:rPr>
        <w:t xml:space="preserve">Zong, C., &amp; Zhou, H. (2024). Stock movement prediction with multimodal stable fusion via gated cross-attention mechanism (arXiv:2406.06594). arXiv. https://doi.org/10.48550/arXiv.2406.06594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2026-07-25T17:53:36.112Z</dcterms:created>
  <dcterms:modified xsi:type="dcterms:W3CDTF">2026-07-25T17:53:36.113Z</dcterms:modified>
</cp:coreProperties>
</file>

<file path=docProps/custom.xml><?xml version="1.0" encoding="utf-8"?>
<Properties xmlns="http://schemas.openxmlformats.org/officeDocument/2006/custom-properties" xmlns:vt="http://schemas.openxmlformats.org/officeDocument/2006/docPropsVTypes"/>
</file>