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B3A" w:rsidRPr="001A043F" w:rsidRDefault="00B34B3A" w:rsidP="00B34B3A">
      <w:pPr>
        <w:spacing w:line="480" w:lineRule="auto"/>
        <w:contextualSpacing/>
        <w:rPr>
          <w:i/>
        </w:rPr>
      </w:pPr>
      <w:r w:rsidRPr="001A043F">
        <w:rPr>
          <w:b/>
        </w:rPr>
        <w:t>General reagents.</w:t>
      </w:r>
      <w:r>
        <w:rPr>
          <w:i/>
        </w:rPr>
        <w:t xml:space="preserve"> </w:t>
      </w:r>
      <w:r w:rsidRPr="00DB625E">
        <w:t>ddH</w:t>
      </w:r>
      <w:r w:rsidRPr="00DB625E">
        <w:rPr>
          <w:vertAlign w:val="subscript"/>
        </w:rPr>
        <w:t>2</w:t>
      </w:r>
      <w:r w:rsidRPr="00DB625E">
        <w:t>0; RPMI-1640 (Corning, Cat. No. 10-040-CV); L-glutamin</w:t>
      </w:r>
      <w:r>
        <w:t>e (Gibco, Cat. No. 25030-081); p</w:t>
      </w:r>
      <w:r w:rsidRPr="00DB625E">
        <w:t>enicillin-</w:t>
      </w:r>
      <w:r>
        <w:t>s</w:t>
      </w:r>
      <w:r w:rsidRPr="00DB625E">
        <w:t>treptomycin (10,000 U/mL) (ThermoFisher Sc</w:t>
      </w:r>
      <w:r>
        <w:t>ientific, Cat. No. 15140-163); h</w:t>
      </w:r>
      <w:r w:rsidRPr="00DB625E">
        <w:t>eat-inactivated (HI) fetal bovine serum (FBS) (Gibco, Cat. No. 16140-071); Dulbecco’s phosphate buffered saline (DPBS) w/o CaCl</w:t>
      </w:r>
      <w:r w:rsidRPr="00DB625E">
        <w:rPr>
          <w:vertAlign w:val="subscript"/>
        </w:rPr>
        <w:t>2</w:t>
      </w:r>
      <w:r w:rsidRPr="00DB625E">
        <w:t>, MgCl</w:t>
      </w:r>
      <w:r w:rsidRPr="00DB625E">
        <w:rPr>
          <w:vertAlign w:val="subscript"/>
        </w:rPr>
        <w:t>2</w:t>
      </w:r>
      <w:r w:rsidRPr="00DB625E">
        <w:t xml:space="preserve"> (Corning, Cat. No. 21-040-CV); 5% (w/v) sodium azide (NaN</w:t>
      </w:r>
      <w:r w:rsidRPr="00DB625E">
        <w:rPr>
          <w:vertAlign w:val="subscript"/>
        </w:rPr>
        <w:t>3</w:t>
      </w:r>
      <w:r>
        <w:t>) (BDH, Cat. No. BDH7465-2); e</w:t>
      </w:r>
      <w:r w:rsidRPr="00DB625E">
        <w:t>thylenediaminetetraacetic acid (EDTA) disodium salt dehydrate (C</w:t>
      </w:r>
      <w:r w:rsidRPr="00DB625E">
        <w:rPr>
          <w:vertAlign w:val="subscript"/>
        </w:rPr>
        <w:t>10</w:t>
      </w:r>
      <w:r w:rsidRPr="00DB625E">
        <w:t>H</w:t>
      </w:r>
      <w:r w:rsidRPr="00DB625E">
        <w:rPr>
          <w:vertAlign w:val="subscript"/>
        </w:rPr>
        <w:t>14</w:t>
      </w:r>
      <w:r w:rsidRPr="00DB625E">
        <w:t>N</w:t>
      </w:r>
      <w:r w:rsidRPr="00DB625E">
        <w:rPr>
          <w:vertAlign w:val="subscript"/>
        </w:rPr>
        <w:t>2</w:t>
      </w:r>
      <w:r w:rsidRPr="00DB625E">
        <w:t>Na</w:t>
      </w:r>
      <w:r w:rsidRPr="00DB625E">
        <w:rPr>
          <w:vertAlign w:val="subscript"/>
        </w:rPr>
        <w:t>2</w:t>
      </w:r>
      <w:r w:rsidRPr="00DB625E">
        <w:t>O</w:t>
      </w:r>
      <w:r w:rsidRPr="00DB625E">
        <w:rPr>
          <w:vertAlign w:val="subscript"/>
        </w:rPr>
        <w:t>8</w:t>
      </w:r>
      <w:r w:rsidRPr="00DB625E">
        <w:t>•2H</w:t>
      </w:r>
      <w:r w:rsidRPr="00DB625E">
        <w:rPr>
          <w:vertAlign w:val="subscript"/>
        </w:rPr>
        <w:t>2</w:t>
      </w:r>
      <w:r w:rsidRPr="00DB625E">
        <w:t>O) (Sigma Aldrich, Cat. No. ED2SS); 15 mL polypropylene conical tubes (Falcon, Cat. No. 352097); 50 mL polypropylene conical tubes (Falcon, Cat. No. 352098); 5 mL polystyrene serological pipettes (Corning, Cat. No. 4050); 10 mL polystyrene serological pipe</w:t>
      </w:r>
      <w:r>
        <w:t>ttes (Corning, Cat. No. 4100); m</w:t>
      </w:r>
      <w:r w:rsidRPr="00DB625E">
        <w:t>icropipettes (1000 μL, 200 μL, 20 μL, 10 μL)</w:t>
      </w:r>
      <w:r>
        <w:t xml:space="preserve"> (Gilson); r</w:t>
      </w:r>
      <w:r w:rsidRPr="00DB625E">
        <w:t>esearch plus 12-channel pipette (50-300 µl), (Eppendorf, Cat. No. 3122000060); 0.1-10 µl TipOne natural pipet tips (USA Scientific, Cat. No. 1111-3200); 1.0-20 µl TipOne natural pipet tips (USA Scientific, Cat. No. 1120-1810); 1-200 µl TipOne natural pipet tips (USA Scientific, Cat. No. 1111-1200); 101-1,000 µl TipOne natural pipet tips (USA Scientific, Cat. No. 1111-2820); 40 μm nylon mesh cell strainers (Falcon, Cat. No. 352340); 2 L polyethylene Dewar flask (Nalgene, Cat. No. 4150-2000); sterile cryogenic storage vials (S</w:t>
      </w:r>
      <w:r>
        <w:t>igma-Aldrich, Cat. No. V7634); m</w:t>
      </w:r>
      <w:r w:rsidRPr="00DB625E">
        <w:t xml:space="preserve">ini </w:t>
      </w:r>
      <w:r>
        <w:t>v</w:t>
      </w:r>
      <w:r w:rsidRPr="00DB625E">
        <w:t xml:space="preserve">ortexer 120V (VWR, Cat. No. 58816-121); polypropylene general-purpose test tube racks (Nalgene, Cat. No.  5930-0020); 96-well reversible microcentrifuge tube rack (Bio Plas, Cat. No. 0091); S1 pipet filler (ThermoFisher Scientific, Cat. No. 9531); 9 L TruCool rectangular ethylene-vinyl acetate foam ice pans (BioCision, Cat. No. BCS-112); 1.5 mL microcentrifuge tubes (USA Scientific, Cat. No. 1615-5500); gel loading tips (Costar, Cat. No. 4853); 60 mm x 15 mm polystyrene tissue culture dishes (Falcon, Cat. No. 353002); 0.4% </w:t>
      </w:r>
      <w:r>
        <w:t>t</w:t>
      </w:r>
      <w:r w:rsidRPr="00DB625E">
        <w:t xml:space="preserve">rypan </w:t>
      </w:r>
      <w:r>
        <w:t>b</w:t>
      </w:r>
      <w:r w:rsidRPr="00DB625E">
        <w:t>lue</w:t>
      </w:r>
      <w:r>
        <w:t xml:space="preserve"> s</w:t>
      </w:r>
      <w:r w:rsidRPr="00DB625E">
        <w:t>olution (Gibco, Cat. No. 15250061)</w:t>
      </w:r>
    </w:p>
    <w:p w:rsidR="00B34B3A" w:rsidRPr="00DB625E" w:rsidRDefault="00B34B3A" w:rsidP="00B34B3A">
      <w:pPr>
        <w:spacing w:line="480" w:lineRule="auto"/>
        <w:contextualSpacing/>
      </w:pPr>
    </w:p>
    <w:p w:rsidR="00B34B3A" w:rsidRPr="001A043F" w:rsidRDefault="00B34B3A" w:rsidP="00B34B3A">
      <w:pPr>
        <w:spacing w:line="480" w:lineRule="auto"/>
        <w:contextualSpacing/>
        <w:rPr>
          <w:i/>
        </w:rPr>
      </w:pPr>
      <w:r w:rsidRPr="001A043F">
        <w:rPr>
          <w:b/>
        </w:rPr>
        <w:lastRenderedPageBreak/>
        <w:t>Reagents germane to mouse euthanasia, perfusion, and tissue processing.</w:t>
      </w:r>
      <w:r>
        <w:rPr>
          <w:i/>
        </w:rPr>
        <w:t xml:space="preserve"> </w:t>
      </w:r>
      <w:r w:rsidRPr="00DB625E">
        <w:t>ketamine hydrochloride injection (VEDCO, NDC: 50989-996-06); xylazine hydrochloride injection (AKORN INC, NDC: 59399-111-50); 0.9% sodium chloride (NaCl) injection, USP (Hospira, NDC 0409-4888-10); 1 mL Norm-Ject® sterile Luer-slip syringes (Henke Sass Wolf, Cat. No. 4010.200V0); PrecisionGlide needles - 26G x ½ (0.45 mm x 13 mm) (BD, Cat. No. 305111); sodium chloride (NaCl) (Sigma Aldrich, Cat. No. S9888); calcium chloride (CaCl</w:t>
      </w:r>
      <w:r w:rsidRPr="00DB625E">
        <w:rPr>
          <w:vertAlign w:val="subscript"/>
        </w:rPr>
        <w:t>2</w:t>
      </w:r>
      <w:r w:rsidRPr="00DB625E">
        <w:t>•2H</w:t>
      </w:r>
      <w:r w:rsidRPr="00DB625E">
        <w:rPr>
          <w:vertAlign w:val="subscript"/>
        </w:rPr>
        <w:t>2</w:t>
      </w:r>
      <w:r w:rsidRPr="00DB625E">
        <w:t>O) (Sigma Aldrich, Cat. No. C8106); sodium phosphate monobasic (NaH</w:t>
      </w:r>
      <w:r w:rsidRPr="00DB625E">
        <w:rPr>
          <w:vertAlign w:val="subscript"/>
        </w:rPr>
        <w:t>2</w:t>
      </w:r>
      <w:r w:rsidRPr="00DB625E">
        <w:t>PO</w:t>
      </w:r>
      <w:r w:rsidRPr="00DB625E">
        <w:rPr>
          <w:vertAlign w:val="subscript"/>
        </w:rPr>
        <w:t>4</w:t>
      </w:r>
      <w:r w:rsidRPr="00DB625E">
        <w:t>•2H</w:t>
      </w:r>
      <w:r w:rsidRPr="00DB625E">
        <w:rPr>
          <w:vertAlign w:val="subscript"/>
        </w:rPr>
        <w:t>2</w:t>
      </w:r>
      <w:r w:rsidRPr="00DB625E">
        <w:t>O) (Sigma Aldrich, Cat. No. 71505); D-glucose (C</w:t>
      </w:r>
      <w:r w:rsidRPr="00DB625E">
        <w:rPr>
          <w:vertAlign w:val="subscript"/>
        </w:rPr>
        <w:t>6</w:t>
      </w:r>
      <w:r w:rsidRPr="00DB625E">
        <w:t>H</w:t>
      </w:r>
      <w:r w:rsidRPr="00DB625E">
        <w:rPr>
          <w:vertAlign w:val="subscript"/>
        </w:rPr>
        <w:t>12</w:t>
      </w:r>
      <w:r w:rsidRPr="00DB625E">
        <w:t>O</w:t>
      </w:r>
      <w:r w:rsidRPr="00DB625E">
        <w:rPr>
          <w:vertAlign w:val="subscript"/>
        </w:rPr>
        <w:t>6</w:t>
      </w:r>
      <w:r w:rsidRPr="00DB625E">
        <w:t>) (Sigma Aldrich, Cat. No. G8270); sodium bicarbonate (NaHCO</w:t>
      </w:r>
      <w:r w:rsidRPr="00DB625E">
        <w:rPr>
          <w:vertAlign w:val="subscript"/>
        </w:rPr>
        <w:t>3</w:t>
      </w:r>
      <w:r w:rsidRPr="00DB625E">
        <w:t>) (Sigma Aldrich, Cat. No. S5761); potassium chloride (KCl) (Sigma Aldrich, Cat. No. P9333); heparin sodium salt from porcine intestinal mucosa (Sigma-Aldrich, Cat. No. H4784); extruded polystyrene foam block (2); Halsted-mosquito hemostat (2) (Fine Science Tools, Cat. No. 13008-12); fine scissors—martensitic stainless steel (2) (Fine Science Tools, Cat. No. 14094-11); Friedman rongeur (Fine Science Tools, Cat. No. 16000-14); Littauer bone cutters (Fine Science Tools, Cat. No. 16152-12); cover-glass forceps (Fine Science Tools, Cat. No. 11073-10); Dumont #5 forceps (2) (Fine Science Tools, Cat. No. 11252-40); Graefe forceps (2) (Fine Science Tools, Cat. No. 11051-10); Masterflex L/S digital pump system with easy-load II pump head, 600 RPM, 115/230V (Cole-Parmer, Cat. No. EW-77921-75); 20 G x 1 1⁄2" aluminum hub blunt needles (Kendall, Cat. No. 8881202363); razor blades (VWR, Cat. No. 55411-050); frosted microscope slides (Fisher Scientific, Cat. No. 12-550-343); 3 mL Luer-Lok® syringes (BD, Cat. No. 309657); PrecisionGlide needles - 23G x 1 (0.6 mm x 25 mm) (BD, Cat. No. 305145); Falcon 3 mL polyethylene transfer pipets (Corning, Cat. No. 357524)</w:t>
      </w:r>
    </w:p>
    <w:p w:rsidR="00B34B3A" w:rsidRPr="00DB625E" w:rsidRDefault="00B34B3A" w:rsidP="00B34B3A">
      <w:pPr>
        <w:spacing w:line="480" w:lineRule="auto"/>
        <w:contextualSpacing/>
      </w:pPr>
    </w:p>
    <w:p w:rsidR="00B34B3A" w:rsidRPr="00DB625E" w:rsidRDefault="00B34B3A" w:rsidP="00B34B3A">
      <w:pPr>
        <w:spacing w:line="480" w:lineRule="auto"/>
        <w:contextualSpacing/>
      </w:pPr>
      <w:r w:rsidRPr="001A043F">
        <w:rPr>
          <w:b/>
        </w:rPr>
        <w:lastRenderedPageBreak/>
        <w:t>Reagents germane to immunolabeling.</w:t>
      </w:r>
      <w:r>
        <w:t xml:space="preserve"> </w:t>
      </w:r>
      <w:r w:rsidRPr="00DB625E">
        <w:t>Brilliant Stain Buffer (BD Biosciences, Cat. No. 563794); TruStain FcX anti-mouse CD16/32 antibody</w:t>
      </w:r>
      <w:r>
        <w:t xml:space="preserve"> (BioLegend, Cat. No. 101320); f</w:t>
      </w:r>
      <w:r w:rsidRPr="00DB625E">
        <w:t>ixable viability dye, eFluor 455UV (eBioscience, Cat. No. 65-0868-14); Brilliant Ultraviolet 737-conjugated anti-mouse CD11b, clone: M1/70, isotype: rat DA/HA IgG2b, κ (BD Biosciences, Cat. No. 564443); V500-conjugated anti-mouse CD45, clone: 30-F11, isotype: rat LOU/M IgG2b, κ (BD Biosciences, Cat. No. 561487); Brilliant Violet 605-conjugated anti-mouse CD4, clone: RM4-5, isotype: rat IgG2a, κ (BioLegend, Cat. No. 100548); Brilliant Violet 711-conjugated anti-mouse Ly6G, clone: 1A8, isotype: rat IgG2a, κ (BioLegend, Cat. No. 127643); Alexa Fluor 488-conjugated anti-mouse CD3ε, clone: 145-2C11, isotype: Armenian hamster IgG (eBioscience, Cat. No. 53-0031-82); PE/Cy7-conjugated anti-mouse CD49b, clone: HMα2, isotype: Armenian hamster IgG (BioLegend, Cat. No. 103518); PE-conjugated anti-mouse F4/80, clone: BM8, isotype: rat IgG2a, κ (BioLegend, Cat. No. 123110); PE-CF594-conjugated anti-mouse CD8α, clone: 53-6.7, isotype: rat LOU/M IgG2a, κ (BD Biosciences, Cat. No. 562283); PerCP/Cy5.5-conjugated anti-mouse/human CD45R/B220, clone: RA3-6B2, isotype: rat IgG2a, κ (BioLegend, Cat. No. 103236); Alexa Fluor 647-conjugated anti-mouse CD11c, clone: N418, isotype: Armenian hamster IgG (BioLegend, Cat. No. 117312); APC/Cy7-conjugated anti-mouse Ly6C, clone: HK1.4, isotype: rat IgG2c, κ (BioLegend, Cat. No. 128026); V500-conjugated rat IgG2b, κ isotype control antibody, clone: A95-1, isotype: rat LOU/M IgG2b, κ (BD Biosciences, Cat. No. 560784);</w:t>
      </w:r>
      <w:r w:rsidR="001343A0">
        <w:t xml:space="preserve"> </w:t>
      </w:r>
      <w:r w:rsidRPr="00DB625E">
        <w:t>fixation/permeabilization solution kit (BD Biosciences, Cat. No. 554714); 4',6-diamidino-2-phenylindole, dihydrochloride (DAPI) (ThermoFisher Scientific, Cat. No. D1306); 96-well V-bottom, non-treated, polystyrene microplate (Costar, Cat No. 3897); 12-well V-bottom reagent reservoir (Argos Technologies, Cat. No. B3135); Microseal ‘F’ foil seal (Bio-Rad; Cat. No. MSF1001)</w:t>
      </w:r>
    </w:p>
    <w:p w:rsidR="00B34B3A" w:rsidRPr="00DB625E" w:rsidRDefault="00B34B3A" w:rsidP="00B34B3A">
      <w:pPr>
        <w:spacing w:line="480" w:lineRule="auto"/>
        <w:contextualSpacing/>
      </w:pPr>
    </w:p>
    <w:p w:rsidR="00B34B3A" w:rsidRPr="00DB625E" w:rsidRDefault="00B34B3A" w:rsidP="00B34B3A">
      <w:pPr>
        <w:spacing w:line="480" w:lineRule="auto"/>
        <w:contextualSpacing/>
      </w:pPr>
      <w:r w:rsidRPr="001A043F">
        <w:rPr>
          <w:b/>
        </w:rPr>
        <w:t>Reagents germane to flow cytometry.</w:t>
      </w:r>
      <w:r>
        <w:t xml:space="preserve"> </w:t>
      </w:r>
      <w:r w:rsidRPr="00DB625E">
        <w:t xml:space="preserve">Sphero rainbow fluorescent particles (3.0-3.4 µm) (BD Biosciences, Cat. No. 556291); FACSDiva CS&amp;T research beads (BD Biosciences, Cat. No. 655051) </w:t>
      </w:r>
    </w:p>
    <w:p w:rsidR="00B34B3A" w:rsidRPr="00A30214" w:rsidRDefault="00B34B3A" w:rsidP="00B34B3A">
      <w:pPr>
        <w:spacing w:line="480" w:lineRule="auto"/>
        <w:contextualSpacing/>
        <w:rPr>
          <w:b/>
          <w:bCs/>
        </w:rPr>
      </w:pPr>
    </w:p>
    <w:p w:rsidR="00B34B3A" w:rsidRPr="00DB625E" w:rsidRDefault="00B34B3A" w:rsidP="00B34B3A">
      <w:pPr>
        <w:spacing w:line="480" w:lineRule="auto"/>
        <w:contextualSpacing/>
      </w:pPr>
      <w:r>
        <w:rPr>
          <w:b/>
          <w:bCs/>
        </w:rPr>
        <w:t>Mice</w:t>
      </w:r>
      <w:r>
        <w:t xml:space="preserve">. </w:t>
      </w:r>
      <w:r w:rsidRPr="00DB625E">
        <w:t>Twelve-week-old</w:t>
      </w:r>
      <w:r>
        <w:t xml:space="preserve"> female</w:t>
      </w:r>
      <w:r w:rsidRPr="00DB625E">
        <w:t xml:space="preserve"> C57BL/6J mice</w:t>
      </w:r>
      <w:r>
        <w:t xml:space="preserve"> syngeneic to the mouse GL261 GBM model</w:t>
      </w:r>
      <w:r w:rsidRPr="00DB625E">
        <w:t xml:space="preserve"> were used in this study (Jackson Laboratory, Bar Harbor, ME). All animal experiments were conducted in accordance with procedures preapproved by the Institutional Animal Care and Use Committee (IACUC) and conformed to the policies and procedures of the Center for Comparative Medicine at Harvard Medical School </w:t>
      </w:r>
      <w:r w:rsidRPr="00DB625E">
        <w:rPr>
          <w:rFonts w:eastAsia="Times New Roman"/>
        </w:rPr>
        <w:t>in agreement with the National Research Council’s “Guide for the Care and Use of Laboratory Animals”</w:t>
      </w:r>
      <w:r w:rsidRPr="00DB625E">
        <w:t>.</w:t>
      </w:r>
    </w:p>
    <w:p w:rsidR="00B34B3A" w:rsidRDefault="00B34B3A" w:rsidP="00B34B3A">
      <w:pPr>
        <w:spacing w:line="480" w:lineRule="auto"/>
        <w:contextualSpacing/>
        <w:rPr>
          <w:b/>
          <w:bCs/>
        </w:rPr>
      </w:pPr>
    </w:p>
    <w:p w:rsidR="00B34B3A" w:rsidRDefault="00B34B3A" w:rsidP="00B34B3A">
      <w:pPr>
        <w:spacing w:line="480" w:lineRule="auto"/>
        <w:contextualSpacing/>
        <w:rPr>
          <w:b/>
          <w:bCs/>
        </w:rPr>
      </w:pPr>
      <w:r>
        <w:rPr>
          <w:b/>
          <w:bCs/>
        </w:rPr>
        <w:t xml:space="preserve">GBM Cells. </w:t>
      </w:r>
      <w:r w:rsidRPr="00B65F60">
        <w:t>T</w:t>
      </w:r>
      <w:r>
        <w:t xml:space="preserve">he GL261 GBM cell line was obtained </w:t>
      </w:r>
      <w:r w:rsidRPr="00C75D21">
        <w:t>from the</w:t>
      </w:r>
      <w:r>
        <w:t xml:space="preserve"> Developmental Therapeutics Program (</w:t>
      </w:r>
      <w:r w:rsidRPr="00C75D21">
        <w:t>DTP</w:t>
      </w:r>
      <w:r>
        <w:t>)</w:t>
      </w:r>
      <w:r w:rsidRPr="00C75D21">
        <w:t xml:space="preserve">, </w:t>
      </w:r>
      <w:r>
        <w:t>Division of Cancer Treatment and Diagnosis (</w:t>
      </w:r>
      <w:r w:rsidRPr="00C75D21">
        <w:t>DCTD</w:t>
      </w:r>
      <w:r>
        <w:t>)</w:t>
      </w:r>
      <w:r w:rsidRPr="00C75D21">
        <w:t xml:space="preserve"> </w:t>
      </w:r>
      <w:r>
        <w:t xml:space="preserve">tumor repository </w:t>
      </w:r>
      <w:r w:rsidRPr="00C75D21">
        <w:t xml:space="preserve">through a material transfer agreement with the </w:t>
      </w:r>
      <w:r>
        <w:t>Biological Testing Branch (BTB) of the National Cancer Institute (</w:t>
      </w:r>
      <w:r w:rsidRPr="00C75D21">
        <w:t>NCI</w:t>
      </w:r>
      <w:r>
        <w:t>)</w:t>
      </w:r>
      <w:r w:rsidRPr="00C75D21">
        <w:t>.</w:t>
      </w:r>
    </w:p>
    <w:p w:rsidR="001A79EC" w:rsidRDefault="001A79EC" w:rsidP="00B34B3A">
      <w:pPr>
        <w:spacing w:line="480" w:lineRule="auto"/>
        <w:contextualSpacing/>
        <w:rPr>
          <w:b/>
          <w:bCs/>
        </w:rPr>
      </w:pPr>
    </w:p>
    <w:p w:rsidR="00B34B3A" w:rsidRPr="001A043F" w:rsidRDefault="00B34B3A" w:rsidP="00B34B3A">
      <w:pPr>
        <w:spacing w:line="480" w:lineRule="auto"/>
        <w:contextualSpacing/>
        <w:rPr>
          <w:i/>
        </w:rPr>
      </w:pPr>
      <w:r w:rsidRPr="00A30214">
        <w:rPr>
          <w:b/>
          <w:bCs/>
        </w:rPr>
        <w:t>Major Equipment</w:t>
      </w:r>
      <w:r>
        <w:rPr>
          <w:b/>
          <w:bCs/>
        </w:rPr>
        <w:t xml:space="preserve">. </w:t>
      </w:r>
      <w:r w:rsidRPr="00DB625E">
        <w:t>BD LSR II Special Order Research Product (SORP) flow cytometer w/ BD High Throughput Sampler</w:t>
      </w:r>
      <w:r>
        <w:t xml:space="preserve"> (HTS)</w:t>
      </w:r>
      <w:r w:rsidRPr="00DB625E">
        <w:t>:</w:t>
      </w:r>
    </w:p>
    <w:p w:rsidR="00B34B3A" w:rsidRPr="00DB625E" w:rsidRDefault="00B34B3A" w:rsidP="00B34B3A">
      <w:pPr>
        <w:pStyle w:val="ListParagraph"/>
        <w:numPr>
          <w:ilvl w:val="0"/>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Laser line – power:</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488 nm laser – 20 mw (run at 20 mw)</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405 nm laser – 50 mw (run at 50 mw)</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594 nm laser – 200 mw (run at 125 mw)</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lastRenderedPageBreak/>
        <w:t>355 nm laser – 20 mw (run at 20 mw)</w:t>
      </w:r>
    </w:p>
    <w:p w:rsidR="00B34B3A" w:rsidRPr="00DB625E" w:rsidRDefault="00B34B3A" w:rsidP="00B34B3A">
      <w:pPr>
        <w:spacing w:line="480" w:lineRule="auto"/>
        <w:contextualSpacing/>
      </w:pPr>
      <w:r w:rsidRPr="00DB625E">
        <w:t>BioTek EL406 automated microplate washer/dispenser:</w:t>
      </w:r>
    </w:p>
    <w:p w:rsidR="00B34B3A" w:rsidRPr="00DB625E" w:rsidRDefault="00B34B3A" w:rsidP="00B34B3A">
      <w:pPr>
        <w:pStyle w:val="ListParagraph"/>
        <w:numPr>
          <w:ilvl w:val="0"/>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 xml:space="preserve">In an effort to minimize cell loss, aspiration steps involving 96-well V-bottom microplates were performed using this instrument such that a 50 μL residual volume remained after each aspiration. This factor was accounted for in all </w:t>
      </w:r>
      <w:r>
        <w:rPr>
          <w:rFonts w:ascii="Times New Roman" w:hAnsi="Times New Roman" w:cs="Times New Roman"/>
          <w:sz w:val="24"/>
          <w:szCs w:val="24"/>
        </w:rPr>
        <w:t xml:space="preserve">reported </w:t>
      </w:r>
      <w:r w:rsidRPr="00DB625E">
        <w:rPr>
          <w:rFonts w:ascii="Times New Roman" w:hAnsi="Times New Roman" w:cs="Times New Roman"/>
          <w:sz w:val="24"/>
          <w:szCs w:val="24"/>
        </w:rPr>
        <w:t>dilutions. Instrument configurations were as follows:</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plate type: 96-well</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W-aspirate</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vacuum filtration: false</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travel rate: 1 (4.1 &amp; 1.0 mm/sec)</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delay: 0 msec</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z-offset: 55 steps (6.99 mm above carrier)</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x-offset: 0 steps (center of well)</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y-offset: 0 steps (center of well)</w:t>
      </w:r>
    </w:p>
    <w:p w:rsidR="00B34B3A" w:rsidRPr="00DB625E" w:rsidRDefault="00B34B3A" w:rsidP="00B34B3A">
      <w:pPr>
        <w:pStyle w:val="ListParagraph"/>
        <w:numPr>
          <w:ilvl w:val="1"/>
          <w:numId w:val="7"/>
        </w:numPr>
        <w:spacing w:line="480" w:lineRule="auto"/>
        <w:rPr>
          <w:rFonts w:ascii="Times New Roman" w:hAnsi="Times New Roman" w:cs="Times New Roman"/>
          <w:sz w:val="24"/>
          <w:szCs w:val="24"/>
        </w:rPr>
      </w:pPr>
      <w:r w:rsidRPr="00DB625E">
        <w:rPr>
          <w:rFonts w:ascii="Times New Roman" w:hAnsi="Times New Roman" w:cs="Times New Roman"/>
          <w:sz w:val="24"/>
          <w:szCs w:val="24"/>
        </w:rPr>
        <w:t>secondary aspirate: no</w:t>
      </w:r>
    </w:p>
    <w:p w:rsidR="00B34B3A" w:rsidRPr="00DB625E" w:rsidRDefault="00B34B3A" w:rsidP="00B34B3A">
      <w:pPr>
        <w:spacing w:line="480" w:lineRule="auto"/>
        <w:contextualSpacing/>
      </w:pPr>
      <w:r w:rsidRPr="00DB625E">
        <w:t>Beckman Coulter Avanti J-26XP centrifuge:</w:t>
      </w:r>
    </w:p>
    <w:p w:rsidR="00B34B3A" w:rsidRPr="00A30214" w:rsidRDefault="00B34B3A" w:rsidP="00B34B3A">
      <w:pPr>
        <w:pStyle w:val="ListParagraph"/>
        <w:numPr>
          <w:ilvl w:val="0"/>
          <w:numId w:val="11"/>
        </w:numPr>
        <w:spacing w:line="480" w:lineRule="auto"/>
        <w:rPr>
          <w:rFonts w:ascii="Times New Roman" w:hAnsi="Times New Roman" w:cs="Times New Roman"/>
          <w:b/>
          <w:bCs/>
          <w:sz w:val="24"/>
          <w:szCs w:val="24"/>
        </w:rPr>
      </w:pPr>
      <w:r w:rsidRPr="00DB625E">
        <w:rPr>
          <w:rFonts w:ascii="Times New Roman" w:hAnsi="Times New Roman" w:cs="Times New Roman"/>
          <w:sz w:val="24"/>
          <w:szCs w:val="24"/>
        </w:rPr>
        <w:t>JS-5.3 anodized aluminum swinging-bucket rotor (Beckman Coulter, Cat. No. 368690)</w:t>
      </w:r>
    </w:p>
    <w:p w:rsidR="00B34B3A" w:rsidRPr="00DB625E" w:rsidRDefault="00B34B3A" w:rsidP="00B34B3A">
      <w:pPr>
        <w:spacing w:line="480" w:lineRule="auto"/>
        <w:contextualSpacing/>
      </w:pPr>
      <w:r w:rsidRPr="00DB625E">
        <w:t>Bransonic CPXH ultrasonic cleaning bath:</w:t>
      </w:r>
    </w:p>
    <w:p w:rsidR="00B34B3A" w:rsidRPr="00DB625E" w:rsidRDefault="00B34B3A" w:rsidP="00B34B3A">
      <w:pPr>
        <w:pStyle w:val="ListParagraph"/>
        <w:numPr>
          <w:ilvl w:val="0"/>
          <w:numId w:val="11"/>
        </w:numPr>
        <w:spacing w:line="480" w:lineRule="auto"/>
        <w:rPr>
          <w:rFonts w:ascii="Times New Roman" w:hAnsi="Times New Roman" w:cs="Times New Roman"/>
          <w:i/>
          <w:sz w:val="24"/>
          <w:szCs w:val="24"/>
        </w:rPr>
      </w:pPr>
      <w:r w:rsidRPr="00DB625E">
        <w:rPr>
          <w:rFonts w:ascii="Times New Roman" w:hAnsi="Times New Roman" w:cs="Times New Roman"/>
          <w:sz w:val="24"/>
          <w:szCs w:val="24"/>
        </w:rPr>
        <w:t>model 3800</w:t>
      </w:r>
    </w:p>
    <w:p w:rsidR="00B34B3A" w:rsidRPr="00A30214" w:rsidRDefault="00B34B3A" w:rsidP="00B34B3A">
      <w:pPr>
        <w:spacing w:line="480" w:lineRule="auto"/>
        <w:contextualSpacing/>
        <w:rPr>
          <w:b/>
          <w:bCs/>
        </w:rPr>
      </w:pPr>
    </w:p>
    <w:p w:rsidR="00B34B3A" w:rsidRPr="001A043F" w:rsidRDefault="00B34B3A" w:rsidP="00B34B3A">
      <w:pPr>
        <w:spacing w:line="480" w:lineRule="auto"/>
        <w:contextualSpacing/>
        <w:rPr>
          <w:b/>
        </w:rPr>
      </w:pPr>
      <w:r w:rsidRPr="00A30214">
        <w:rPr>
          <w:b/>
          <w:bCs/>
        </w:rPr>
        <w:t>Reagent Preparation</w:t>
      </w:r>
      <w:r>
        <w:rPr>
          <w:b/>
        </w:rPr>
        <w:t xml:space="preserve">. </w:t>
      </w:r>
      <w:r>
        <w:t>s</w:t>
      </w:r>
      <w:r w:rsidRPr="00DB625E">
        <w:t>upplemented RPMI-1640 (RPMI-1640 with L-glutamine, 100 U/mL penicillin-100 U/mL streptomycin, 10% HI-FBS, 0.05% sodium azide):</w:t>
      </w:r>
    </w:p>
    <w:p w:rsidR="00B34B3A" w:rsidRPr="00DB625E" w:rsidRDefault="00B34B3A" w:rsidP="00B34B3A">
      <w:pPr>
        <w:pStyle w:val="ListParagraph"/>
        <w:numPr>
          <w:ilvl w:val="0"/>
          <w:numId w:val="12"/>
        </w:numPr>
        <w:spacing w:line="480" w:lineRule="auto"/>
        <w:rPr>
          <w:rFonts w:ascii="Times New Roman" w:hAnsi="Times New Roman" w:cs="Times New Roman"/>
          <w:sz w:val="24"/>
          <w:szCs w:val="24"/>
        </w:rPr>
      </w:pPr>
      <w:r w:rsidRPr="00DB625E">
        <w:rPr>
          <w:rFonts w:ascii="Times New Roman" w:hAnsi="Times New Roman" w:cs="Times New Roman"/>
          <w:sz w:val="24"/>
          <w:szCs w:val="24"/>
        </w:rPr>
        <w:lastRenderedPageBreak/>
        <w:t>to a 500 mL bottle of RPMI-1640 with L-glutamine were added:</w:t>
      </w:r>
    </w:p>
    <w:p w:rsidR="00B34B3A" w:rsidRPr="00DB625E" w:rsidRDefault="00B34B3A" w:rsidP="00B34B3A">
      <w:pPr>
        <w:pStyle w:val="ListParagraph"/>
        <w:numPr>
          <w:ilvl w:val="0"/>
          <w:numId w:val="16"/>
        </w:numPr>
        <w:spacing w:line="480" w:lineRule="auto"/>
        <w:rPr>
          <w:rFonts w:ascii="Times New Roman" w:hAnsi="Times New Roman" w:cs="Times New Roman"/>
          <w:sz w:val="24"/>
          <w:szCs w:val="24"/>
        </w:rPr>
      </w:pPr>
      <w:r w:rsidRPr="00DB625E">
        <w:rPr>
          <w:rFonts w:ascii="Times New Roman" w:hAnsi="Times New Roman" w:cs="Times New Roman"/>
          <w:sz w:val="24"/>
          <w:szCs w:val="24"/>
        </w:rPr>
        <w:t>5 mL of a 10,000 U/mL penicillin-10,000 μg/mL streptomycin solution</w:t>
      </w:r>
    </w:p>
    <w:p w:rsidR="00B34B3A" w:rsidRPr="00DB625E" w:rsidRDefault="00B34B3A" w:rsidP="00B34B3A">
      <w:pPr>
        <w:pStyle w:val="ListParagraph"/>
        <w:numPr>
          <w:ilvl w:val="0"/>
          <w:numId w:val="16"/>
        </w:numPr>
        <w:spacing w:line="480" w:lineRule="auto"/>
        <w:rPr>
          <w:rFonts w:ascii="Times New Roman" w:hAnsi="Times New Roman" w:cs="Times New Roman"/>
          <w:sz w:val="24"/>
          <w:szCs w:val="24"/>
        </w:rPr>
      </w:pPr>
      <w:r w:rsidRPr="00DB625E">
        <w:rPr>
          <w:rFonts w:ascii="Times New Roman" w:hAnsi="Times New Roman" w:cs="Times New Roman"/>
          <w:sz w:val="24"/>
          <w:szCs w:val="24"/>
        </w:rPr>
        <w:t>50 mL of HI-FBS</w:t>
      </w:r>
    </w:p>
    <w:p w:rsidR="00B34B3A" w:rsidRPr="00DB625E" w:rsidRDefault="00B34B3A" w:rsidP="00B34B3A">
      <w:pPr>
        <w:pStyle w:val="ListParagraph"/>
        <w:numPr>
          <w:ilvl w:val="0"/>
          <w:numId w:val="16"/>
        </w:numPr>
        <w:spacing w:line="480" w:lineRule="auto"/>
        <w:rPr>
          <w:rFonts w:ascii="Times New Roman" w:hAnsi="Times New Roman" w:cs="Times New Roman"/>
          <w:sz w:val="24"/>
          <w:szCs w:val="24"/>
        </w:rPr>
      </w:pPr>
      <w:r w:rsidRPr="00DB625E">
        <w:rPr>
          <w:rFonts w:ascii="Times New Roman" w:hAnsi="Times New Roman" w:cs="Times New Roman"/>
          <w:sz w:val="24"/>
          <w:szCs w:val="24"/>
        </w:rPr>
        <w:t>2.5 mL of a 5% w/v sodium azide solution</w:t>
      </w:r>
    </w:p>
    <w:p w:rsidR="00B34B3A" w:rsidRPr="00DB625E" w:rsidRDefault="00B34B3A" w:rsidP="00B34B3A">
      <w:pPr>
        <w:pStyle w:val="ListParagraph"/>
        <w:numPr>
          <w:ilvl w:val="0"/>
          <w:numId w:val="16"/>
        </w:numPr>
        <w:spacing w:line="480" w:lineRule="auto"/>
        <w:rPr>
          <w:rFonts w:ascii="Times New Roman" w:hAnsi="Times New Roman" w:cs="Times New Roman"/>
          <w:sz w:val="24"/>
          <w:szCs w:val="24"/>
        </w:rPr>
      </w:pPr>
      <w:r w:rsidRPr="00DB625E">
        <w:rPr>
          <w:rFonts w:ascii="Times New Roman" w:hAnsi="Times New Roman" w:cs="Times New Roman"/>
          <w:sz w:val="24"/>
          <w:szCs w:val="24"/>
        </w:rPr>
        <w:t>5 mL of a 10% EDTA solution</w:t>
      </w:r>
    </w:p>
    <w:p w:rsidR="00B34B3A" w:rsidRPr="00DB625E" w:rsidRDefault="00B34B3A" w:rsidP="00B34B3A">
      <w:pPr>
        <w:spacing w:line="480" w:lineRule="auto"/>
        <w:contextualSpacing/>
      </w:pPr>
      <w:r w:rsidRPr="00DB625E">
        <w:t>heparinized Tyrode’s solution:</w:t>
      </w:r>
    </w:p>
    <w:p w:rsidR="00B34B3A" w:rsidRPr="00DB625E" w:rsidRDefault="00B34B3A" w:rsidP="00B34B3A">
      <w:pPr>
        <w:pStyle w:val="ListParagraph"/>
        <w:numPr>
          <w:ilvl w:val="0"/>
          <w:numId w:val="13"/>
        </w:numPr>
        <w:spacing w:line="480" w:lineRule="auto"/>
        <w:rPr>
          <w:rFonts w:ascii="Times New Roman" w:hAnsi="Times New Roman" w:cs="Times New Roman"/>
          <w:sz w:val="24"/>
          <w:szCs w:val="24"/>
        </w:rPr>
      </w:pPr>
      <w:r w:rsidRPr="00DB625E">
        <w:rPr>
          <w:rFonts w:ascii="Times New Roman" w:hAnsi="Times New Roman" w:cs="Times New Roman"/>
          <w:sz w:val="24"/>
          <w:szCs w:val="24"/>
        </w:rPr>
        <w:t xml:space="preserve">to a 1 L glass screw-cap storage bottle on a stirring plate </w:t>
      </w:r>
      <w:r>
        <w:rPr>
          <w:rFonts w:ascii="Times New Roman" w:hAnsi="Times New Roman" w:cs="Times New Roman"/>
          <w:sz w:val="24"/>
          <w:szCs w:val="24"/>
        </w:rPr>
        <w:t>and containing a magnetic stirring bar and 1 L ddH</w:t>
      </w:r>
      <w:r w:rsidRPr="00326512">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DB625E">
        <w:rPr>
          <w:rFonts w:ascii="Times New Roman" w:hAnsi="Times New Roman" w:cs="Times New Roman"/>
          <w:sz w:val="24"/>
          <w:szCs w:val="24"/>
        </w:rPr>
        <w:t>were added:</w:t>
      </w:r>
    </w:p>
    <w:p w:rsidR="00B34B3A" w:rsidRPr="00DB625E" w:rsidRDefault="00B34B3A" w:rsidP="00B34B3A">
      <w:pPr>
        <w:pStyle w:val="ListParagraph"/>
        <w:numPr>
          <w:ilvl w:val="2"/>
          <w:numId w:val="17"/>
        </w:numPr>
        <w:spacing w:line="480" w:lineRule="auto"/>
        <w:rPr>
          <w:rFonts w:ascii="Times New Roman" w:hAnsi="Times New Roman" w:cs="Times New Roman"/>
          <w:sz w:val="24"/>
          <w:szCs w:val="24"/>
        </w:rPr>
      </w:pPr>
      <w:r w:rsidRPr="00DB625E">
        <w:rPr>
          <w:rFonts w:ascii="Times New Roman" w:hAnsi="Times New Roman" w:cs="Times New Roman"/>
          <w:sz w:val="24"/>
          <w:szCs w:val="24"/>
        </w:rPr>
        <w:t xml:space="preserve">8.0 g sodium chloride </w:t>
      </w:r>
    </w:p>
    <w:p w:rsidR="00B34B3A" w:rsidRPr="00DB625E" w:rsidRDefault="00B34B3A" w:rsidP="00B34B3A">
      <w:pPr>
        <w:pStyle w:val="ListParagraph"/>
        <w:numPr>
          <w:ilvl w:val="2"/>
          <w:numId w:val="17"/>
        </w:numPr>
        <w:spacing w:line="480" w:lineRule="auto"/>
        <w:rPr>
          <w:rFonts w:ascii="Times New Roman" w:hAnsi="Times New Roman" w:cs="Times New Roman"/>
          <w:sz w:val="24"/>
          <w:szCs w:val="24"/>
        </w:rPr>
      </w:pPr>
      <w:r w:rsidRPr="00DB625E">
        <w:rPr>
          <w:rFonts w:ascii="Times New Roman" w:hAnsi="Times New Roman" w:cs="Times New Roman"/>
          <w:sz w:val="24"/>
          <w:szCs w:val="24"/>
        </w:rPr>
        <w:t>0.264 g calcium chloride</w:t>
      </w:r>
    </w:p>
    <w:p w:rsidR="00B34B3A" w:rsidRPr="00DB625E" w:rsidRDefault="00B34B3A" w:rsidP="00B34B3A">
      <w:pPr>
        <w:pStyle w:val="ListParagraph"/>
        <w:numPr>
          <w:ilvl w:val="2"/>
          <w:numId w:val="17"/>
        </w:numPr>
        <w:spacing w:line="480" w:lineRule="auto"/>
        <w:rPr>
          <w:rFonts w:ascii="Times New Roman" w:hAnsi="Times New Roman" w:cs="Times New Roman"/>
          <w:sz w:val="24"/>
          <w:szCs w:val="24"/>
        </w:rPr>
      </w:pPr>
      <w:r w:rsidRPr="00DB625E">
        <w:rPr>
          <w:rFonts w:ascii="Times New Roman" w:hAnsi="Times New Roman" w:cs="Times New Roman"/>
          <w:sz w:val="24"/>
          <w:szCs w:val="24"/>
        </w:rPr>
        <w:t>0.05 g sodium phosphate monobasic</w:t>
      </w:r>
    </w:p>
    <w:p w:rsidR="00B34B3A" w:rsidRPr="00DB625E" w:rsidRDefault="00B34B3A" w:rsidP="00B34B3A">
      <w:pPr>
        <w:pStyle w:val="ListParagraph"/>
        <w:numPr>
          <w:ilvl w:val="2"/>
          <w:numId w:val="17"/>
        </w:numPr>
        <w:spacing w:line="480" w:lineRule="auto"/>
        <w:rPr>
          <w:rFonts w:ascii="Times New Roman" w:hAnsi="Times New Roman" w:cs="Times New Roman"/>
          <w:sz w:val="24"/>
          <w:szCs w:val="24"/>
        </w:rPr>
      </w:pPr>
      <w:r w:rsidRPr="00DB625E">
        <w:rPr>
          <w:rFonts w:ascii="Times New Roman" w:hAnsi="Times New Roman" w:cs="Times New Roman"/>
          <w:sz w:val="24"/>
          <w:szCs w:val="24"/>
        </w:rPr>
        <w:t>1.0 g D-glucose</w:t>
      </w:r>
    </w:p>
    <w:p w:rsidR="00B34B3A" w:rsidRPr="00DB625E" w:rsidRDefault="00B34B3A" w:rsidP="00B34B3A">
      <w:pPr>
        <w:pStyle w:val="ListParagraph"/>
        <w:numPr>
          <w:ilvl w:val="2"/>
          <w:numId w:val="17"/>
        </w:numPr>
        <w:spacing w:line="480" w:lineRule="auto"/>
        <w:rPr>
          <w:rFonts w:ascii="Times New Roman" w:hAnsi="Times New Roman" w:cs="Times New Roman"/>
          <w:sz w:val="24"/>
          <w:szCs w:val="24"/>
        </w:rPr>
      </w:pPr>
      <w:r w:rsidRPr="00DB625E">
        <w:rPr>
          <w:rFonts w:ascii="Times New Roman" w:hAnsi="Times New Roman" w:cs="Times New Roman"/>
          <w:sz w:val="24"/>
          <w:szCs w:val="24"/>
        </w:rPr>
        <w:t>1.0 g sodium bicarbonate</w:t>
      </w:r>
    </w:p>
    <w:p w:rsidR="00B34B3A" w:rsidRPr="00DB625E" w:rsidRDefault="00B34B3A" w:rsidP="00B34B3A">
      <w:pPr>
        <w:pStyle w:val="ListParagraph"/>
        <w:numPr>
          <w:ilvl w:val="2"/>
          <w:numId w:val="17"/>
        </w:numPr>
        <w:spacing w:line="480" w:lineRule="auto"/>
        <w:rPr>
          <w:rFonts w:ascii="Times New Roman" w:hAnsi="Times New Roman" w:cs="Times New Roman"/>
          <w:sz w:val="24"/>
          <w:szCs w:val="24"/>
        </w:rPr>
      </w:pPr>
      <w:r w:rsidRPr="00DB625E">
        <w:rPr>
          <w:rFonts w:ascii="Times New Roman" w:hAnsi="Times New Roman" w:cs="Times New Roman"/>
          <w:sz w:val="24"/>
          <w:szCs w:val="24"/>
        </w:rPr>
        <w:t>0.2 g potassium chloride</w:t>
      </w:r>
    </w:p>
    <w:p w:rsidR="00B34B3A" w:rsidRPr="00DB625E" w:rsidRDefault="00B34B3A" w:rsidP="00B34B3A">
      <w:pPr>
        <w:pStyle w:val="ListParagraph"/>
        <w:numPr>
          <w:ilvl w:val="2"/>
          <w:numId w:val="17"/>
        </w:numPr>
        <w:spacing w:line="480" w:lineRule="auto"/>
        <w:rPr>
          <w:rFonts w:ascii="Times New Roman" w:hAnsi="Times New Roman" w:cs="Times New Roman"/>
          <w:sz w:val="24"/>
          <w:szCs w:val="24"/>
        </w:rPr>
      </w:pPr>
      <w:r w:rsidRPr="00DB625E">
        <w:rPr>
          <w:rFonts w:ascii="Times New Roman" w:hAnsi="Times New Roman" w:cs="Times New Roman"/>
          <w:sz w:val="24"/>
          <w:szCs w:val="24"/>
        </w:rPr>
        <w:t>100 U of heparin sodium</w:t>
      </w:r>
    </w:p>
    <w:p w:rsidR="00B34B3A" w:rsidRPr="00DB625E" w:rsidRDefault="00B34B3A" w:rsidP="00B34B3A">
      <w:pPr>
        <w:pStyle w:val="ListParagraph"/>
        <w:numPr>
          <w:ilvl w:val="2"/>
          <w:numId w:val="15"/>
        </w:numPr>
        <w:spacing w:line="480" w:lineRule="auto"/>
        <w:ind w:left="720"/>
        <w:rPr>
          <w:rFonts w:ascii="Times New Roman" w:hAnsi="Times New Roman" w:cs="Times New Roman"/>
          <w:sz w:val="24"/>
          <w:szCs w:val="24"/>
        </w:rPr>
      </w:pPr>
      <w:r w:rsidRPr="00DB625E">
        <w:rPr>
          <w:rFonts w:ascii="Times New Roman" w:hAnsi="Times New Roman" w:cs="Times New Roman"/>
          <w:sz w:val="24"/>
          <w:szCs w:val="24"/>
        </w:rPr>
        <w:t>Salts were allowed to completely dissolve prior to storage at 4 °C.</w:t>
      </w:r>
    </w:p>
    <w:p w:rsidR="00B34B3A" w:rsidRPr="00DB625E" w:rsidRDefault="00B34B3A" w:rsidP="00B34B3A">
      <w:pPr>
        <w:spacing w:line="480" w:lineRule="auto"/>
        <w:contextualSpacing/>
      </w:pPr>
      <w:r w:rsidRPr="00DB625E">
        <w:t>ammonium-chloride-potassium (ACK) lysis buffer (1X):</w:t>
      </w:r>
    </w:p>
    <w:p w:rsidR="00B34B3A" w:rsidRPr="00DB625E" w:rsidRDefault="00B34B3A" w:rsidP="00B34B3A">
      <w:pPr>
        <w:pStyle w:val="ListParagraph"/>
        <w:numPr>
          <w:ilvl w:val="0"/>
          <w:numId w:val="14"/>
        </w:numPr>
        <w:spacing w:line="480" w:lineRule="auto"/>
        <w:rPr>
          <w:rFonts w:ascii="Times New Roman" w:hAnsi="Times New Roman" w:cs="Times New Roman"/>
          <w:sz w:val="24"/>
          <w:szCs w:val="24"/>
        </w:rPr>
      </w:pPr>
      <w:r w:rsidRPr="00DB625E">
        <w:rPr>
          <w:rFonts w:ascii="Times New Roman" w:hAnsi="Times New Roman" w:cs="Times New Roman"/>
          <w:sz w:val="24"/>
          <w:szCs w:val="24"/>
        </w:rPr>
        <w:t>to 1 L of stirring ddH</w:t>
      </w:r>
      <w:r w:rsidRPr="00DB625E">
        <w:rPr>
          <w:rFonts w:ascii="Times New Roman" w:hAnsi="Times New Roman" w:cs="Times New Roman"/>
          <w:sz w:val="24"/>
          <w:szCs w:val="24"/>
          <w:vertAlign w:val="subscript"/>
        </w:rPr>
        <w:t>2</w:t>
      </w:r>
      <w:r w:rsidRPr="00DB625E">
        <w:rPr>
          <w:rFonts w:ascii="Times New Roman" w:hAnsi="Times New Roman" w:cs="Times New Roman"/>
          <w:sz w:val="24"/>
          <w:szCs w:val="24"/>
        </w:rPr>
        <w:t>0 were added:</w:t>
      </w:r>
    </w:p>
    <w:p w:rsidR="00B34B3A" w:rsidRPr="00DB625E" w:rsidRDefault="00B34B3A" w:rsidP="00B34B3A">
      <w:pPr>
        <w:pStyle w:val="ListParagraph"/>
        <w:numPr>
          <w:ilvl w:val="1"/>
          <w:numId w:val="14"/>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8.29 g of ammonium chloride</w:t>
      </w:r>
    </w:p>
    <w:p w:rsidR="00B34B3A" w:rsidRPr="00DB625E" w:rsidRDefault="00B34B3A" w:rsidP="00B34B3A">
      <w:pPr>
        <w:pStyle w:val="ListParagraph"/>
        <w:numPr>
          <w:ilvl w:val="1"/>
          <w:numId w:val="14"/>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1.0 g of potassium bicarbonate</w:t>
      </w:r>
    </w:p>
    <w:p w:rsidR="00B34B3A" w:rsidRPr="00DB625E" w:rsidRDefault="00B34B3A" w:rsidP="00B34B3A">
      <w:pPr>
        <w:pStyle w:val="ListParagraph"/>
        <w:numPr>
          <w:ilvl w:val="1"/>
          <w:numId w:val="14"/>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37.2 mg of sodium EDTA</w:t>
      </w:r>
    </w:p>
    <w:p w:rsidR="00B34B3A" w:rsidRPr="00DB625E" w:rsidRDefault="00B34B3A" w:rsidP="00B34B3A">
      <w:pPr>
        <w:pStyle w:val="ListParagraph"/>
        <w:numPr>
          <w:ilvl w:val="0"/>
          <w:numId w:val="14"/>
        </w:numPr>
        <w:spacing w:line="480" w:lineRule="auto"/>
        <w:rPr>
          <w:rFonts w:ascii="Times New Roman" w:hAnsi="Times New Roman" w:cs="Times New Roman"/>
          <w:sz w:val="24"/>
          <w:szCs w:val="24"/>
        </w:rPr>
      </w:pPr>
      <w:r w:rsidRPr="00DB625E">
        <w:rPr>
          <w:rFonts w:ascii="Times New Roman" w:hAnsi="Times New Roman" w:cs="Times New Roman"/>
          <w:sz w:val="24"/>
          <w:szCs w:val="24"/>
        </w:rPr>
        <w:t>pH was adjusted to 7.4</w:t>
      </w:r>
    </w:p>
    <w:p w:rsidR="00B34B3A" w:rsidRPr="00DB625E" w:rsidRDefault="00B34B3A" w:rsidP="00B34B3A">
      <w:pPr>
        <w:spacing w:line="480" w:lineRule="auto"/>
        <w:contextualSpacing/>
      </w:pPr>
      <w:r>
        <w:lastRenderedPageBreak/>
        <w:t>f</w:t>
      </w:r>
      <w:r w:rsidRPr="00DB625E">
        <w:t>low buffer (DPBS + 0.5% HI-FBS):</w:t>
      </w:r>
    </w:p>
    <w:p w:rsidR="00B34B3A" w:rsidRPr="00DB625E" w:rsidRDefault="00B34B3A" w:rsidP="00B34B3A">
      <w:pPr>
        <w:pStyle w:val="ListParagraph"/>
        <w:numPr>
          <w:ilvl w:val="0"/>
          <w:numId w:val="1"/>
        </w:numPr>
        <w:spacing w:line="480" w:lineRule="auto"/>
        <w:rPr>
          <w:rFonts w:ascii="Times New Roman" w:hAnsi="Times New Roman" w:cs="Times New Roman"/>
          <w:sz w:val="24"/>
          <w:szCs w:val="24"/>
        </w:rPr>
      </w:pPr>
      <w:r w:rsidRPr="00DB625E">
        <w:rPr>
          <w:rFonts w:ascii="Times New Roman" w:hAnsi="Times New Roman" w:cs="Times New Roman"/>
          <w:sz w:val="24"/>
          <w:szCs w:val="24"/>
        </w:rPr>
        <w:t>to 95 mL of DPBS was added:</w:t>
      </w:r>
    </w:p>
    <w:p w:rsidR="00B34B3A" w:rsidRPr="00DB625E" w:rsidRDefault="00B34B3A" w:rsidP="00B34B3A">
      <w:pPr>
        <w:pStyle w:val="ListParagraph"/>
        <w:numPr>
          <w:ilvl w:val="0"/>
          <w:numId w:val="18"/>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 xml:space="preserve"> 0.5 mL of HI-FBS</w:t>
      </w:r>
    </w:p>
    <w:p w:rsidR="00B34B3A" w:rsidRPr="00DB625E" w:rsidRDefault="00B34B3A" w:rsidP="00B34B3A">
      <w:pPr>
        <w:pStyle w:val="ListParagraph"/>
        <w:numPr>
          <w:ilvl w:val="0"/>
          <w:numId w:val="19"/>
        </w:numPr>
        <w:spacing w:line="480" w:lineRule="auto"/>
        <w:rPr>
          <w:rFonts w:ascii="Times New Roman" w:hAnsi="Times New Roman" w:cs="Times New Roman"/>
          <w:sz w:val="24"/>
          <w:szCs w:val="24"/>
        </w:rPr>
      </w:pPr>
      <w:r w:rsidRPr="00DB625E">
        <w:rPr>
          <w:rFonts w:ascii="Times New Roman" w:hAnsi="Times New Roman" w:cs="Times New Roman"/>
          <w:sz w:val="24"/>
          <w:szCs w:val="24"/>
        </w:rPr>
        <w:t>stored at 4°C</w:t>
      </w:r>
    </w:p>
    <w:p w:rsidR="00B34B3A" w:rsidRPr="00DB625E" w:rsidRDefault="00B34B3A" w:rsidP="00B34B3A">
      <w:pPr>
        <w:spacing w:line="480" w:lineRule="auto"/>
        <w:contextualSpacing/>
      </w:pPr>
      <w:r>
        <w:t>f</w:t>
      </w:r>
      <w:r w:rsidRPr="00DB625E">
        <w:t>low buffer + azide (flow buffer + 0.05% sodium azide):</w:t>
      </w:r>
    </w:p>
    <w:p w:rsidR="00B34B3A" w:rsidRPr="00DB625E" w:rsidRDefault="00B34B3A" w:rsidP="00B34B3A">
      <w:pPr>
        <w:pStyle w:val="ListParagraph"/>
        <w:numPr>
          <w:ilvl w:val="0"/>
          <w:numId w:val="2"/>
        </w:numPr>
        <w:spacing w:line="480" w:lineRule="auto"/>
        <w:rPr>
          <w:rFonts w:ascii="Times New Roman" w:hAnsi="Times New Roman" w:cs="Times New Roman"/>
          <w:sz w:val="24"/>
          <w:szCs w:val="24"/>
        </w:rPr>
      </w:pPr>
      <w:r w:rsidRPr="00DB625E">
        <w:rPr>
          <w:rFonts w:ascii="Times New Roman" w:hAnsi="Times New Roman" w:cs="Times New Roman"/>
          <w:sz w:val="24"/>
          <w:szCs w:val="24"/>
        </w:rPr>
        <w:t>to 49.5 mL of flow buffer was added:</w:t>
      </w:r>
    </w:p>
    <w:p w:rsidR="00B34B3A" w:rsidRPr="00DB625E" w:rsidRDefault="00B34B3A" w:rsidP="00B34B3A">
      <w:pPr>
        <w:pStyle w:val="ListParagraph"/>
        <w:numPr>
          <w:ilvl w:val="0"/>
          <w:numId w:val="20"/>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 xml:space="preserve"> 0.5 mL of a 5% w/v sodium azide solution</w:t>
      </w:r>
    </w:p>
    <w:p w:rsidR="00B34B3A" w:rsidRPr="00DB625E" w:rsidRDefault="00B34B3A" w:rsidP="00B34B3A">
      <w:pPr>
        <w:pStyle w:val="ListParagraph"/>
        <w:numPr>
          <w:ilvl w:val="0"/>
          <w:numId w:val="21"/>
        </w:numPr>
        <w:spacing w:line="480" w:lineRule="auto"/>
        <w:rPr>
          <w:rFonts w:ascii="Times New Roman" w:hAnsi="Times New Roman" w:cs="Times New Roman"/>
          <w:sz w:val="24"/>
          <w:szCs w:val="24"/>
        </w:rPr>
      </w:pPr>
      <w:r w:rsidRPr="00DB625E">
        <w:rPr>
          <w:rFonts w:ascii="Times New Roman" w:hAnsi="Times New Roman" w:cs="Times New Roman"/>
          <w:sz w:val="24"/>
          <w:szCs w:val="24"/>
        </w:rPr>
        <w:t>stored at 4°C</w:t>
      </w:r>
    </w:p>
    <w:p w:rsidR="00B34B3A" w:rsidRPr="00DB625E" w:rsidRDefault="00B34B3A" w:rsidP="00B34B3A">
      <w:pPr>
        <w:spacing w:line="480" w:lineRule="auto"/>
        <w:contextualSpacing/>
      </w:pPr>
      <w:r w:rsidRPr="00DB625E">
        <w:t>EDTA solution (1X DPBS containing 10% EDTA):</w:t>
      </w:r>
    </w:p>
    <w:p w:rsidR="00B34B3A" w:rsidRPr="00DB625E" w:rsidRDefault="00B34B3A" w:rsidP="00B34B3A">
      <w:pPr>
        <w:pStyle w:val="ListParagraph"/>
        <w:numPr>
          <w:ilvl w:val="0"/>
          <w:numId w:val="3"/>
        </w:numPr>
        <w:spacing w:line="480" w:lineRule="auto"/>
        <w:rPr>
          <w:rFonts w:ascii="Times New Roman" w:hAnsi="Times New Roman" w:cs="Times New Roman"/>
          <w:sz w:val="24"/>
          <w:szCs w:val="24"/>
        </w:rPr>
      </w:pPr>
      <w:r w:rsidRPr="00DB625E">
        <w:rPr>
          <w:rFonts w:ascii="Times New Roman" w:hAnsi="Times New Roman" w:cs="Times New Roman"/>
          <w:sz w:val="24"/>
          <w:szCs w:val="24"/>
        </w:rPr>
        <w:t>to 50 mL of DPBS was added:</w:t>
      </w:r>
    </w:p>
    <w:p w:rsidR="00B34B3A" w:rsidRPr="00DB625E" w:rsidRDefault="00B34B3A" w:rsidP="00B34B3A">
      <w:pPr>
        <w:pStyle w:val="ListParagraph"/>
        <w:numPr>
          <w:ilvl w:val="0"/>
          <w:numId w:val="22"/>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 xml:space="preserve"> 5 g of disodium EDTA</w:t>
      </w:r>
    </w:p>
    <w:p w:rsidR="00B34B3A" w:rsidRPr="00DB625E" w:rsidRDefault="00B34B3A" w:rsidP="00B34B3A">
      <w:pPr>
        <w:pStyle w:val="ListParagraph"/>
        <w:numPr>
          <w:ilvl w:val="0"/>
          <w:numId w:val="23"/>
        </w:numPr>
        <w:spacing w:line="480" w:lineRule="auto"/>
        <w:rPr>
          <w:rFonts w:ascii="Times New Roman" w:hAnsi="Times New Roman" w:cs="Times New Roman"/>
          <w:sz w:val="24"/>
          <w:szCs w:val="24"/>
        </w:rPr>
      </w:pPr>
      <w:r w:rsidRPr="00DB625E">
        <w:rPr>
          <w:rFonts w:ascii="Times New Roman" w:hAnsi="Times New Roman" w:cs="Times New Roman"/>
          <w:sz w:val="24"/>
          <w:szCs w:val="24"/>
        </w:rPr>
        <w:t>placed in ultrasonic bath to facilitate dissolution</w:t>
      </w:r>
    </w:p>
    <w:p w:rsidR="00B34B3A" w:rsidRPr="00DB625E" w:rsidRDefault="00B34B3A" w:rsidP="00B34B3A">
      <w:pPr>
        <w:pStyle w:val="ListParagraph"/>
        <w:numPr>
          <w:ilvl w:val="0"/>
          <w:numId w:val="23"/>
        </w:numPr>
        <w:spacing w:line="480" w:lineRule="auto"/>
        <w:rPr>
          <w:rFonts w:ascii="Times New Roman" w:hAnsi="Times New Roman" w:cs="Times New Roman"/>
          <w:sz w:val="24"/>
          <w:szCs w:val="24"/>
        </w:rPr>
      </w:pPr>
      <w:r w:rsidRPr="00DB625E">
        <w:rPr>
          <w:rFonts w:ascii="Times New Roman" w:hAnsi="Times New Roman" w:cs="Times New Roman"/>
          <w:sz w:val="24"/>
          <w:szCs w:val="24"/>
        </w:rPr>
        <w:t xml:space="preserve"> stored at 4°C </w:t>
      </w:r>
    </w:p>
    <w:p w:rsidR="00B34B3A" w:rsidRPr="00DB625E" w:rsidRDefault="00B34B3A" w:rsidP="00B34B3A">
      <w:pPr>
        <w:spacing w:line="480" w:lineRule="auto"/>
        <w:contextualSpacing/>
      </w:pPr>
      <w:r w:rsidRPr="00DB625E">
        <w:t>Fc block (flow buffer + azide containing 22.5 μg/mL anti-mouse CD16/32):</w:t>
      </w:r>
    </w:p>
    <w:p w:rsidR="00B34B3A" w:rsidRPr="00DB625E" w:rsidRDefault="00B34B3A" w:rsidP="00B34B3A">
      <w:pPr>
        <w:pStyle w:val="ListParagraph"/>
        <w:numPr>
          <w:ilvl w:val="0"/>
          <w:numId w:val="4"/>
        </w:numPr>
        <w:spacing w:line="480" w:lineRule="auto"/>
        <w:rPr>
          <w:rFonts w:ascii="Times New Roman" w:hAnsi="Times New Roman" w:cs="Times New Roman"/>
          <w:sz w:val="24"/>
          <w:szCs w:val="24"/>
        </w:rPr>
      </w:pPr>
      <w:r w:rsidRPr="00DB625E">
        <w:rPr>
          <w:rFonts w:ascii="Times New Roman" w:hAnsi="Times New Roman" w:cs="Times New Roman"/>
          <w:sz w:val="24"/>
          <w:szCs w:val="24"/>
        </w:rPr>
        <w:t>refer to accompanying spreadsheet for preparation details (</w:t>
      </w:r>
      <w:r w:rsidRPr="00DB625E">
        <w:rPr>
          <w:rFonts w:ascii="Times New Roman" w:hAnsi="Times New Roman" w:cs="Times New Roman"/>
          <w:b/>
          <w:sz w:val="24"/>
          <w:szCs w:val="24"/>
        </w:rPr>
        <w:t xml:space="preserve">Supplementary Table </w:t>
      </w:r>
      <w:r>
        <w:rPr>
          <w:rFonts w:ascii="Times New Roman" w:hAnsi="Times New Roman" w:cs="Times New Roman"/>
          <w:b/>
          <w:sz w:val="24"/>
          <w:szCs w:val="24"/>
        </w:rPr>
        <w:t>2</w:t>
      </w:r>
      <w:r w:rsidRPr="00DB625E">
        <w:rPr>
          <w:rFonts w:ascii="Times New Roman" w:hAnsi="Times New Roman" w:cs="Times New Roman"/>
          <w:sz w:val="24"/>
          <w:szCs w:val="24"/>
        </w:rPr>
        <w:t>).</w:t>
      </w:r>
    </w:p>
    <w:p w:rsidR="00B34B3A" w:rsidRPr="00DB625E" w:rsidRDefault="00B34B3A" w:rsidP="00B34B3A">
      <w:pPr>
        <w:spacing w:line="480" w:lineRule="auto"/>
        <w:contextualSpacing/>
      </w:pPr>
      <w:r>
        <w:t>f</w:t>
      </w:r>
      <w:r w:rsidRPr="00DB625E">
        <w:t>ixable viability dye:</w:t>
      </w:r>
    </w:p>
    <w:p w:rsidR="00B34B3A" w:rsidRPr="00DB625E" w:rsidRDefault="00B34B3A" w:rsidP="00B34B3A">
      <w:pPr>
        <w:pStyle w:val="ListParagraph"/>
        <w:numPr>
          <w:ilvl w:val="0"/>
          <w:numId w:val="5"/>
        </w:numPr>
        <w:spacing w:line="480" w:lineRule="auto"/>
        <w:rPr>
          <w:rFonts w:ascii="Times New Roman" w:hAnsi="Times New Roman" w:cs="Times New Roman"/>
          <w:sz w:val="24"/>
          <w:szCs w:val="24"/>
        </w:rPr>
      </w:pPr>
      <w:r w:rsidRPr="00DB625E">
        <w:rPr>
          <w:rFonts w:ascii="Times New Roman" w:hAnsi="Times New Roman" w:cs="Times New Roman"/>
          <w:sz w:val="24"/>
          <w:szCs w:val="24"/>
        </w:rPr>
        <w:t>eFluor 455UV fixable viability dye was diluted 1.5:1,000 in 1X DPBS</w:t>
      </w:r>
    </w:p>
    <w:p w:rsidR="00B34B3A" w:rsidRPr="00DB625E" w:rsidRDefault="00B34B3A" w:rsidP="00B34B3A">
      <w:pPr>
        <w:pStyle w:val="ListParagraph"/>
        <w:numPr>
          <w:ilvl w:val="0"/>
          <w:numId w:val="5"/>
        </w:numPr>
        <w:spacing w:line="480" w:lineRule="auto"/>
        <w:rPr>
          <w:rFonts w:ascii="Times New Roman" w:hAnsi="Times New Roman" w:cs="Times New Roman"/>
          <w:sz w:val="24"/>
          <w:szCs w:val="24"/>
        </w:rPr>
      </w:pPr>
      <w:r w:rsidRPr="00DB625E">
        <w:rPr>
          <w:rFonts w:ascii="Times New Roman" w:hAnsi="Times New Roman" w:cs="Times New Roman"/>
          <w:sz w:val="24"/>
          <w:szCs w:val="24"/>
        </w:rPr>
        <w:t>refer to accompanying spreadsheet for preparation details (</w:t>
      </w:r>
      <w:r w:rsidRPr="00DB625E">
        <w:rPr>
          <w:rFonts w:ascii="Times New Roman" w:hAnsi="Times New Roman" w:cs="Times New Roman"/>
          <w:b/>
          <w:sz w:val="24"/>
          <w:szCs w:val="24"/>
        </w:rPr>
        <w:t xml:space="preserve">Supplementary Table </w:t>
      </w:r>
      <w:r>
        <w:rPr>
          <w:rFonts w:ascii="Times New Roman" w:hAnsi="Times New Roman" w:cs="Times New Roman"/>
          <w:b/>
          <w:sz w:val="24"/>
          <w:szCs w:val="24"/>
        </w:rPr>
        <w:t>2</w:t>
      </w:r>
      <w:r w:rsidRPr="00DB625E">
        <w:rPr>
          <w:rFonts w:ascii="Times New Roman" w:hAnsi="Times New Roman" w:cs="Times New Roman"/>
          <w:sz w:val="24"/>
          <w:szCs w:val="24"/>
        </w:rPr>
        <w:t>).</w:t>
      </w:r>
    </w:p>
    <w:p w:rsidR="00B34B3A" w:rsidRPr="00A30214" w:rsidRDefault="00B34B3A" w:rsidP="00B34B3A">
      <w:pPr>
        <w:spacing w:line="480" w:lineRule="auto"/>
        <w:contextualSpacing/>
        <w:rPr>
          <w:b/>
          <w:bCs/>
        </w:rPr>
      </w:pPr>
    </w:p>
    <w:p w:rsidR="00B34B3A" w:rsidRPr="001A043F" w:rsidRDefault="00B34B3A" w:rsidP="00B34B3A">
      <w:pPr>
        <w:spacing w:line="480" w:lineRule="auto"/>
        <w:contextualSpacing/>
        <w:rPr>
          <w:b/>
          <w:bCs/>
        </w:rPr>
      </w:pPr>
      <w:r w:rsidRPr="00A30214">
        <w:rPr>
          <w:b/>
          <w:bCs/>
        </w:rPr>
        <w:t>Antibody Titration</w:t>
      </w:r>
      <w:r>
        <w:rPr>
          <w:b/>
          <w:bCs/>
        </w:rPr>
        <w:t xml:space="preserve">. </w:t>
      </w:r>
      <w:r w:rsidRPr="00DB625E">
        <w:t xml:space="preserve">Immunolabeling concentrations yielding the highest </w:t>
      </w:r>
      <w:r>
        <w:t>staining index (SI)</w:t>
      </w:r>
      <w:r w:rsidRPr="00E71E27">
        <w:fldChar w:fldCharType="begin"/>
      </w:r>
      <w:r>
        <w:instrText xml:space="preserve"> ADDIN ZOTERO_ITEM CSL_CITATION {"citationID":"FLn8Ds8a","properties":{"formattedCitation":"\\super 55\\nosupersub{}","plainCitation":"55","noteIndex":0},"citationItems":[{"id":14,"uris":["http://zotero.org/users/local/oR8ZFVJz/items/NEYLH6LZ"],"uri":["http://zotero.org/users/local/oR8ZFVJz/items/NEYLH6LZ"],"itemData":{"id":14,"type":"article-journal","title":"Green fiber lasers: an alternative to traditional DPSS green lasers for flow cytometry","container-title":"Cytometry. Part A: The Journal of the International Society for Analytical Cytology","page":"1031-1039","volume":"75","issue":"12","source":"PubMed","abstract":"Green and yellow diode-pumped solid-state (DPSS) lasers (532 and 561 nm) have become common fixtures on flow cytometers, due to their efficient excitation of phycoerythrin (PE) and its tandems, and their ability to excite an expanding array of expressible red fluorescent proteins. Nevertheless, they have some disadvantages. DPSS 532-nm lasers emit very close to the fluorescein bandwidth, necessitating optical modifications to permit detection of fluorescein and GFP. DPSS 561-nm lasers likewise emit very close to the PE detection bandwidth and also cause unwanted excitation of APC and its tandems, requiring high levels of crossbeam compensation to reduce spectral overlap into the PE tandems. In this article, we report the development of a new generation of green fiber lasers that can be engineered to emit in the range between 532 and 561 nm. A 550-nm green fiber laser was integrated into both a BD LSR II cuvette and FACSVantage DiVa jet-in-air cell sorter. This laser wavelength avoided both the fluorescein and PE bandwidths and provided better excitation of PE and the red fluorescent proteins DsRed and dTomato than a power-matched 532 nm source. Excitation at 550 nm also caused less incidental excitation of APC and its tandems, reducing the need for crossbeam compensation. Excitation in the 550 nm range, therefore, proved to be a good compromise between 532- and 561-nm sources. Fiber laser technology is, therefore, providing the flexibility necessary for precisely matching laser wavelengths to our flow cytometry applications.","DOI":"10.1002/cyto.a.20790","ISSN":"1552-4930","note":"PMID: 19777600\nPMCID: PMC2798129","shortTitle":"Green fiber lasers","journalAbbreviation":"Cytometry A","language":"eng","author":[{"family":"Telford","given":"William G."},{"family":"Babin","given":"Sergey A."},{"family":"Khorev","given":"Serge V."},{"family":"Rowe","given":"Stephen H."}],"issued":{"date-parts":[["2009",12]]}}}],"schema":"https://github.com/citation-style-language/schema/raw/master/csl-citation.json"} </w:instrText>
      </w:r>
      <w:r w:rsidRPr="00E71E27">
        <w:fldChar w:fldCharType="separate"/>
      </w:r>
      <w:r w:rsidRPr="00A350E1">
        <w:rPr>
          <w:vertAlign w:val="superscript"/>
        </w:rPr>
        <w:t>55</w:t>
      </w:r>
      <w:r w:rsidRPr="00E71E27">
        <w:fldChar w:fldCharType="end"/>
      </w:r>
      <w:r>
        <w:t xml:space="preserve"> </w:t>
      </w:r>
      <w:r w:rsidRPr="00DB625E">
        <w:t>for each antibody in the study were determined by first harvesting the spleens of two 12-week-</w:t>
      </w:r>
      <w:r w:rsidRPr="00DB625E">
        <w:lastRenderedPageBreak/>
        <w:t xml:space="preserve">old female C57BL/6J mice placed under terminal anesthesia with a dose of 150 mg/kg of ketamine hydrochloride and 20 mg/kg xylazine hydrochloride diluted in sterile 0.9% NaCl delivered with a 1 mL tuberculin syringe equipped with a 26G needle as a single intraperitoneal (i.p.) injection. Using opposing frosted ends of 2 glass microscope slides, each spleen was gently macerated and rinsed with 4 mL of supplemented RPMI-1640 into a 60 x 15 mm polystyrene petri dish on ice. Splenocytes were aspirated from the dish, dispensed into a 15 mL conical tube, and centrifuged at 350 x g (max RCF) for 10 minutes at 4°C. The cell pellet was resuspended in 8 mL of a 1X ACK lysing buffer and placed on ice for 5 minutes to lyse red blood cells (RBCs). Six (6) mL of flow buffer + azide was added to the tube prior to filtering the cell suspension through a 40 μm nylon mesh into a fresh 15 mL conical tube. Splenocytes were again centrifuged at 350 x g (max RCF) for 10 minutes at 4°C then resuspended in 2 mL of flow buffer + azide. Cell </w:t>
      </w:r>
      <w:r>
        <w:t>counting was performed using a t</w:t>
      </w:r>
      <w:r w:rsidRPr="00DB625E">
        <w:t xml:space="preserve">rypan </w:t>
      </w:r>
      <w:r>
        <w:t>b</w:t>
      </w:r>
      <w:r w:rsidRPr="00DB625E">
        <w:t>lue and a glass hemocytometer. Cell concentration was adjusted accordingly to achieve a final concentration of 1x10</w:t>
      </w:r>
      <w:r w:rsidRPr="00DB625E">
        <w:rPr>
          <w:vertAlign w:val="superscript"/>
        </w:rPr>
        <w:t>7</w:t>
      </w:r>
      <w:r w:rsidRPr="00DB625E">
        <w:t xml:space="preserve"> cells/mL.</w:t>
      </w:r>
    </w:p>
    <w:p w:rsidR="00B34B3A" w:rsidRPr="00DB625E" w:rsidRDefault="00B34B3A" w:rsidP="00B34B3A">
      <w:pPr>
        <w:spacing w:line="480" w:lineRule="auto"/>
        <w:contextualSpacing/>
      </w:pPr>
      <w:r w:rsidRPr="00DB625E">
        <w:tab/>
        <w:t>Two-hundred (200) μL of the 1x10</w:t>
      </w:r>
      <w:r w:rsidRPr="00DB625E">
        <w:rPr>
          <w:vertAlign w:val="superscript"/>
        </w:rPr>
        <w:t>7</w:t>
      </w:r>
      <w:r w:rsidRPr="00DB625E">
        <w:t xml:space="preserve"> cell/mL splenocyte suspension were added </w:t>
      </w:r>
      <w:r>
        <w:t xml:space="preserve">to wells A-H of </w:t>
      </w:r>
      <w:r w:rsidRPr="00DB625E">
        <w:t>11 concentric columns of a 96-well V-bottom microplate using a multichannel pipette followed by centrifugstion at 100 x g (max RCF) for 3 minutes at 4°C. One-hundred and fifty (150) μL of cell supernatant was aspirated from each well followed by resuspension in 100 μL of Fc block (15 μg/mL final concentration). Splenocytes were incubate</w:t>
      </w:r>
      <w:r>
        <w:t>d</w:t>
      </w:r>
      <w:r w:rsidRPr="00DB625E">
        <w:t xml:space="preserve"> on ice for 5 minutes prior to centrifugation at 100 x g (max RCF) for 3 minutes at 4°C. One-hundred (100) μL was aspirated from each well </w:t>
      </w:r>
      <w:r>
        <w:t xml:space="preserve">before resuspension </w:t>
      </w:r>
      <w:r w:rsidRPr="00DB625E">
        <w:t>with 100 μL of target antibodies pre-diluted in Brilliant Stain Buffer to achieve the following two-fold serial dilution series per column for each of</w:t>
      </w:r>
      <w:r>
        <w:t xml:space="preserve"> the</w:t>
      </w:r>
      <w:r w:rsidRPr="00DB625E">
        <w:t xml:space="preserve"> 11 antibodies</w:t>
      </w:r>
      <w:r>
        <w:t xml:space="preserve"> used </w:t>
      </w:r>
      <w:r w:rsidRPr="00C02EBE">
        <w:t>in the study: 24, 12, 6, 3, 1.5, 0.75, 0.375, and 0.1875 μg/mL.</w:t>
      </w:r>
      <w:r w:rsidRPr="00DB625E">
        <w:t xml:space="preserve"> Splenocytes were immunolabel</w:t>
      </w:r>
      <w:r>
        <w:t>ed</w:t>
      </w:r>
      <w:r w:rsidRPr="00DB625E">
        <w:t xml:space="preserve"> on ice for 15 minutes in the dark prior to centrifugation at 100 </w:t>
      </w:r>
      <w:r w:rsidRPr="00DB625E">
        <w:lastRenderedPageBreak/>
        <w:t xml:space="preserve">x g (max RCF) for 3 minutes at 4°C. Two-hundred (200) μL of supernatant were then aspirated followed by resuspension with 100 μL of flow buffer + azide. This washing step was repeated once except that 200 μL (instead of 100 μL) of flow buffer + azide was used in the resuspension step. DAPI was added to each well at a final concentration of 1μg/mL and allowed to incubate for 3-5 minutes prior to data acquisition. </w:t>
      </w:r>
    </w:p>
    <w:p w:rsidR="00B34B3A" w:rsidRPr="00DB625E" w:rsidRDefault="00B34B3A" w:rsidP="00B34B3A">
      <w:pPr>
        <w:spacing w:line="480" w:lineRule="auto"/>
        <w:contextualSpacing/>
      </w:pPr>
      <w:r w:rsidRPr="00DB625E">
        <w:tab/>
      </w:r>
      <w:r>
        <w:t>Immunolabeled splenocytes were analyzed</w:t>
      </w:r>
      <w:r w:rsidRPr="00DB625E">
        <w:t xml:space="preserve"> on a BD LSR II SORP flow cytometer equipped with a BD HTS for 96-well high-throughput sampling. The following acquisition gating strategy was used: (FSC-A vs. SSC-A) </w:t>
      </w:r>
      <w:r w:rsidRPr="00DB625E">
        <w:rPr>
          <w:rFonts w:hint="eastAsia"/>
        </w:rPr>
        <w:t>→</w:t>
      </w:r>
      <w:r w:rsidRPr="00DB625E">
        <w:t xml:space="preserve"> (SSC-H vs. SSC-W) </w:t>
      </w:r>
      <w:r w:rsidRPr="00DB625E">
        <w:rPr>
          <w:rFonts w:hint="eastAsia"/>
        </w:rPr>
        <w:t>→</w:t>
      </w:r>
      <w:r w:rsidRPr="00DB625E">
        <w:t xml:space="preserve"> (FSC-H vs. FSC-W) </w:t>
      </w:r>
      <w:r w:rsidRPr="00DB625E">
        <w:rPr>
          <w:rFonts w:hint="eastAsia"/>
        </w:rPr>
        <w:t>→</w:t>
      </w:r>
      <w:r w:rsidRPr="00DB625E">
        <w:t xml:space="preserve"> (DAPI-A vs. FSC-A) </w:t>
      </w:r>
      <w:r w:rsidRPr="00DB625E">
        <w:rPr>
          <w:rFonts w:hint="eastAsia"/>
        </w:rPr>
        <w:t>→</w:t>
      </w:r>
      <w:r w:rsidRPr="00DB625E">
        <w:t xml:space="preserve"> (CD</w:t>
      </w:r>
      <w:r w:rsidRPr="00DB625E">
        <w:rPr>
          <w:vertAlign w:val="subscript"/>
        </w:rPr>
        <w:t>x</w:t>
      </w:r>
      <w:r w:rsidRPr="00DB625E">
        <w:t xml:space="preserve"> vs. count). A total of 10,000 viable singlets were analyzed per well. The median fluorescence intensities (MFIs) of the first (background) and second (first true positive) peaks, and the 84</w:t>
      </w:r>
      <w:r w:rsidRPr="00FB202D">
        <w:rPr>
          <w:vertAlign w:val="superscript"/>
        </w:rPr>
        <w:t>th</w:t>
      </w:r>
      <w:r w:rsidRPr="00DB625E">
        <w:t xml:space="preserve"> percentile of the first peak were identified using the layout editor tool of FlowJo software from which a </w:t>
      </w:r>
      <w:r>
        <w:t>SI</w:t>
      </w:r>
      <w:r w:rsidRPr="00DB625E">
        <w:t xml:space="preserve"> for each antibody was calculated according to the following formula: SI = (MFI</w:t>
      </w:r>
      <w:r w:rsidRPr="00DB625E">
        <w:rPr>
          <w:vertAlign w:val="subscript"/>
        </w:rPr>
        <w:t>pos</w:t>
      </w:r>
      <w:r w:rsidRPr="00DB625E">
        <w:t>-MFI</w:t>
      </w:r>
      <w:r w:rsidRPr="00DB625E">
        <w:rPr>
          <w:vertAlign w:val="subscript"/>
        </w:rPr>
        <w:t>neg</w:t>
      </w:r>
      <w:r w:rsidRPr="00DB625E">
        <w:t>)/[(84%</w:t>
      </w:r>
      <w:r w:rsidRPr="00DB625E">
        <w:rPr>
          <w:vertAlign w:val="subscript"/>
        </w:rPr>
        <w:t>neg</w:t>
      </w:r>
      <w:r w:rsidRPr="00DB625E">
        <w:t>-MFI</w:t>
      </w:r>
      <w:r w:rsidRPr="00DB625E">
        <w:rPr>
          <w:vertAlign w:val="subscript"/>
        </w:rPr>
        <w:t>neg</w:t>
      </w:r>
      <w:r w:rsidRPr="00DB625E">
        <w:t>)/0.995]. The maximum SI (SI</w:t>
      </w:r>
      <w:r w:rsidRPr="00DB625E">
        <w:rPr>
          <w:vertAlign w:val="subscript"/>
        </w:rPr>
        <w:t>max</w:t>
      </w:r>
      <w:r w:rsidRPr="00DB625E">
        <w:t>) of each antibody was used as the target immunolabeling concentration in our longitudinal study.</w:t>
      </w:r>
    </w:p>
    <w:p w:rsidR="00B34B3A" w:rsidRPr="00A30214" w:rsidRDefault="00B34B3A" w:rsidP="00B34B3A">
      <w:pPr>
        <w:spacing w:line="480" w:lineRule="auto"/>
        <w:contextualSpacing/>
        <w:rPr>
          <w:b/>
          <w:bCs/>
        </w:rPr>
      </w:pPr>
    </w:p>
    <w:p w:rsidR="00B34B3A" w:rsidRPr="00DB625E" w:rsidRDefault="00B34B3A" w:rsidP="00B34B3A">
      <w:pPr>
        <w:spacing w:line="480" w:lineRule="auto"/>
        <w:contextualSpacing/>
      </w:pPr>
      <w:r w:rsidRPr="00A30214">
        <w:rPr>
          <w:b/>
          <w:bCs/>
        </w:rPr>
        <w:t>Stereotactic Engraftment of GBM Cells into the Mouse Brain</w:t>
      </w:r>
      <w:r>
        <w:rPr>
          <w:b/>
          <w:bCs/>
        </w:rPr>
        <w:t xml:space="preserve">. </w:t>
      </w:r>
      <w:r>
        <w:t>The reader is referred here</w:t>
      </w:r>
      <w:r>
        <w:fldChar w:fldCharType="begin"/>
      </w:r>
      <w:r>
        <w:instrText xml:space="preserve"> ADDIN ZOTERO_ITEM CSL_CITATION {"citationID":"dhGBypIl","properties":{"formattedCitation":"\\super 51\\nosupersub{}","plainCitation":"51","noteIndex":0},"citationItems":[{"id":67,"uris":["http://zotero.org/users/local/oR8ZFVJz/items/5V6PGCU9"],"uri":["http://zotero.org/users/local/oR8ZFVJz/items/5V6PGCU9"],"itemData":{"id":67,"type":"article-journal","title":"Isolation and Flow Cytometric Analysis of Glioma-infiltrating Peripheral Blood Mononuclear Cells","container-title":"Journal of Visualized Experiments: JoVE","issue":"105","source":"PubMed","abstract":"Our laboratory has recently demonstrated that natural killer (NK) cells are capable of eradicating orthotopically implanted mouse GL26 and rat CNS-1 malignant gliomas soon after intracranial engraftment if the cancer cells are rendered deficient in their expression of the β-galactoside-binding lectin galectin-1 (gal-1). More recent work now shows that a population of Gr-1+/CD11b+ myeloid cells is critical to this effect. To better understand the mechanisms by which NK and myeloid cells cooperate to confer gal-1-deficient tumor rejection we have developed a comprehensive protocol for the isolation and analysis of glioma-infiltrating peripheral blood mononuclear cells (PBMC). The method is demonstrated here by comparing PBMC infiltration into the tumor microenvironment of gal-1-expressing GL26 gliomas with those rendered gal-1-deficient via shRNA knockdown. The protocol begins with a description of how to culture and prepare GL26 cells for inoculation into the syngeneic C57BL/6J mouse brain. It then explains the steps involved in the isolation and flow cytometric analysis of glioma-infiltrating PBMCs from the early brain tumor microenvironment. The method is adaptable to a number of in vivo experimental designs in which temporal data on immune infiltration into the brain is required. The method is sensitive and highly reproducible, as glioma-infiltrating PBMCs can be isolated from intracranial tumors as soon as 24 hr post-tumor engraftment with similar cell counts observed from time point matched tumors throughout independent experiments. A single experimentalist can perform the method from brain harvesting to flow cytometric analysis of glioma-infiltrating PBMCs in roughly 4-6 hr depending on the number of samples to be analyzed. Alternative glioma models and/or cell-specific detection antibodies may also be used at the experimentalists' discretion to assess the infiltration of several other immune cell types of interest without the need for alterations to the overall procedure.","DOI":"10.3791/53676","ISSN":"1940-087X","note":"PMID: 26650233\nPMCID: PMC4692754","journalAbbreviation":"J Vis Exp","language":"eng","author":[{"family":"Baker","given":"Gregory J."},{"family":"Castro","given":"Maria G."},{"family":"Lowenstein","given":"Pedro R."}],"issued":{"date-parts":[["2015",11,28]]}}}],"schema":"https://github.com/citation-style-language/schema/raw/master/csl-citation.json"} </w:instrText>
      </w:r>
      <w:r>
        <w:fldChar w:fldCharType="separate"/>
      </w:r>
      <w:r w:rsidRPr="00A350E1">
        <w:rPr>
          <w:vertAlign w:val="superscript"/>
        </w:rPr>
        <w:t>51</w:t>
      </w:r>
      <w:r>
        <w:fldChar w:fldCharType="end"/>
      </w:r>
      <w:r>
        <w:t xml:space="preserve"> for detailed instruction on how to stereo</w:t>
      </w:r>
      <w:r w:rsidRPr="00DB625E">
        <w:t>tacti</w:t>
      </w:r>
      <w:r>
        <w:t>cally</w:t>
      </w:r>
      <w:r w:rsidRPr="00DB625E">
        <w:t xml:space="preserve"> engraft glioma cells into the mouse brain.</w:t>
      </w:r>
    </w:p>
    <w:p w:rsidR="00B34B3A" w:rsidRPr="00A30214" w:rsidRDefault="00B34B3A" w:rsidP="00B34B3A">
      <w:pPr>
        <w:spacing w:line="480" w:lineRule="auto"/>
        <w:contextualSpacing/>
        <w:rPr>
          <w:b/>
          <w:bCs/>
        </w:rPr>
      </w:pPr>
    </w:p>
    <w:p w:rsidR="00B34B3A" w:rsidRPr="001A043F" w:rsidRDefault="00B34B3A" w:rsidP="00B34B3A">
      <w:pPr>
        <w:spacing w:line="480" w:lineRule="auto"/>
        <w:contextualSpacing/>
        <w:rPr>
          <w:b/>
        </w:rPr>
      </w:pPr>
      <w:r w:rsidRPr="00A30214">
        <w:rPr>
          <w:b/>
          <w:bCs/>
        </w:rPr>
        <w:t>Tissue Harvesting and Processing</w:t>
      </w:r>
      <w:r>
        <w:rPr>
          <w:b/>
        </w:rPr>
        <w:t xml:space="preserve">. </w:t>
      </w:r>
      <w:r w:rsidRPr="00DB625E">
        <w:t>The following disposable reagents were gathered and labeled before each of</w:t>
      </w:r>
      <w:r>
        <w:t xml:space="preserve"> our study’s</w:t>
      </w:r>
      <w:r w:rsidRPr="00DB625E">
        <w:t xml:space="preserve"> 3</w:t>
      </w:r>
      <w:r>
        <w:t xml:space="preserve"> time points</w:t>
      </w:r>
      <w:r w:rsidRPr="00DB625E">
        <w:t>:</w:t>
      </w:r>
    </w:p>
    <w:p w:rsidR="00B34B3A" w:rsidRPr="00DB625E" w:rsidRDefault="00B34B3A" w:rsidP="00B34B3A">
      <w:pPr>
        <w:pStyle w:val="ListParagraph"/>
        <w:numPr>
          <w:ilvl w:val="0"/>
          <w:numId w:val="26"/>
        </w:numPr>
        <w:spacing w:line="480" w:lineRule="auto"/>
        <w:rPr>
          <w:rFonts w:ascii="Times New Roman" w:hAnsi="Times New Roman" w:cs="Times New Roman"/>
          <w:sz w:val="24"/>
          <w:szCs w:val="24"/>
        </w:rPr>
      </w:pPr>
      <w:r w:rsidRPr="00DB625E">
        <w:rPr>
          <w:rFonts w:ascii="Times New Roman" w:hAnsi="Times New Roman" w:cs="Times New Roman"/>
          <w:sz w:val="24"/>
          <w:szCs w:val="24"/>
        </w:rPr>
        <w:t>15 mL conical tubes (16)</w:t>
      </w:r>
    </w:p>
    <w:p w:rsidR="00B34B3A" w:rsidRPr="007E68A9" w:rsidRDefault="00B34B3A" w:rsidP="00B34B3A">
      <w:pPr>
        <w:pStyle w:val="ListParagraph"/>
        <w:numPr>
          <w:ilvl w:val="0"/>
          <w:numId w:val="28"/>
        </w:numPr>
        <w:spacing w:line="480" w:lineRule="auto"/>
        <w:ind w:firstLine="360"/>
        <w:rPr>
          <w:rFonts w:ascii="Times New Roman" w:hAnsi="Times New Roman" w:cs="Times New Roman"/>
          <w:sz w:val="24"/>
          <w:szCs w:val="24"/>
        </w:rPr>
      </w:pPr>
      <w:r w:rsidRPr="007E68A9">
        <w:rPr>
          <w:rFonts w:ascii="Times New Roman" w:hAnsi="Times New Roman" w:cs="Times New Roman"/>
          <w:sz w:val="24"/>
          <w:szCs w:val="24"/>
        </w:rPr>
        <w:t>labeled: “blood”, &lt;condition&gt;, &lt;replicate&gt;</w:t>
      </w:r>
      <w:r>
        <w:rPr>
          <w:rFonts w:ascii="Times New Roman" w:hAnsi="Times New Roman" w:cs="Times New Roman"/>
          <w:sz w:val="24"/>
          <w:szCs w:val="24"/>
        </w:rPr>
        <w:t xml:space="preserve"> </w:t>
      </w:r>
      <w:r w:rsidRPr="007E68A9">
        <w:rPr>
          <w:rFonts w:ascii="Times New Roman" w:hAnsi="Times New Roman" w:cs="Times New Roman"/>
          <w:sz w:val="24"/>
          <w:szCs w:val="24"/>
        </w:rPr>
        <w:t xml:space="preserve">(note: </w:t>
      </w:r>
      <w:proofErr w:type="gramStart"/>
      <w:r w:rsidRPr="007E68A9">
        <w:rPr>
          <w:rFonts w:ascii="Times New Roman" w:hAnsi="Times New Roman" w:cs="Times New Roman"/>
          <w:sz w:val="24"/>
          <w:szCs w:val="24"/>
        </w:rPr>
        <w:t>&lt;  &gt;</w:t>
      </w:r>
      <w:proofErr w:type="gramEnd"/>
      <w:r w:rsidRPr="007E68A9">
        <w:rPr>
          <w:rFonts w:ascii="Times New Roman" w:hAnsi="Times New Roman" w:cs="Times New Roman"/>
          <w:sz w:val="24"/>
          <w:szCs w:val="24"/>
        </w:rPr>
        <w:t xml:space="preserve"> indicates </w:t>
      </w:r>
      <w:r>
        <w:rPr>
          <w:rFonts w:ascii="Times New Roman" w:hAnsi="Times New Roman" w:cs="Times New Roman"/>
          <w:sz w:val="24"/>
          <w:szCs w:val="24"/>
        </w:rPr>
        <w:t xml:space="preserve">a </w:t>
      </w:r>
      <w:r w:rsidRPr="007E68A9">
        <w:rPr>
          <w:rFonts w:ascii="Times New Roman" w:hAnsi="Times New Roman" w:cs="Times New Roman"/>
          <w:sz w:val="24"/>
          <w:szCs w:val="24"/>
        </w:rPr>
        <w:t>variable)</w:t>
      </w:r>
    </w:p>
    <w:p w:rsidR="00B34B3A" w:rsidRPr="00DB625E" w:rsidRDefault="00B34B3A" w:rsidP="00B34B3A">
      <w:pPr>
        <w:pStyle w:val="ListParagraph"/>
        <w:numPr>
          <w:ilvl w:val="0"/>
          <w:numId w:val="29"/>
        </w:numPr>
        <w:spacing w:line="480" w:lineRule="auto"/>
        <w:rPr>
          <w:rFonts w:ascii="Times New Roman" w:hAnsi="Times New Roman" w:cs="Times New Roman"/>
          <w:sz w:val="24"/>
          <w:szCs w:val="24"/>
        </w:rPr>
      </w:pPr>
      <w:r w:rsidRPr="00DB625E">
        <w:rPr>
          <w:rFonts w:ascii="Times New Roman" w:hAnsi="Times New Roman" w:cs="Times New Roman"/>
          <w:sz w:val="24"/>
          <w:szCs w:val="24"/>
        </w:rPr>
        <w:t>3 mL syringes equipped with 23G needles (16)</w:t>
      </w:r>
    </w:p>
    <w:p w:rsidR="00B34B3A" w:rsidRPr="00DB625E" w:rsidRDefault="00B34B3A" w:rsidP="00B34B3A">
      <w:pPr>
        <w:pStyle w:val="ListParagraph"/>
        <w:numPr>
          <w:ilvl w:val="0"/>
          <w:numId w:val="27"/>
        </w:numPr>
        <w:spacing w:line="480" w:lineRule="auto"/>
        <w:ind w:firstLine="450"/>
        <w:rPr>
          <w:rFonts w:ascii="Times New Roman" w:hAnsi="Times New Roman" w:cs="Times New Roman"/>
          <w:sz w:val="24"/>
          <w:szCs w:val="24"/>
        </w:rPr>
      </w:pPr>
      <w:r w:rsidRPr="00DB625E">
        <w:rPr>
          <w:rFonts w:ascii="Times New Roman" w:hAnsi="Times New Roman" w:cs="Times New Roman"/>
          <w:sz w:val="24"/>
          <w:szCs w:val="24"/>
        </w:rPr>
        <w:lastRenderedPageBreak/>
        <w:t>labeled: “marrow”, &lt;condition&gt;, &lt;replicate&gt;</w:t>
      </w:r>
    </w:p>
    <w:p w:rsidR="00B34B3A" w:rsidRPr="00DB625E" w:rsidRDefault="00B34B3A" w:rsidP="00B34B3A">
      <w:pPr>
        <w:pStyle w:val="ListParagraph"/>
        <w:numPr>
          <w:ilvl w:val="0"/>
          <w:numId w:val="32"/>
        </w:numPr>
        <w:spacing w:line="480" w:lineRule="auto"/>
        <w:rPr>
          <w:rFonts w:ascii="Times New Roman" w:hAnsi="Times New Roman" w:cs="Times New Roman"/>
          <w:sz w:val="24"/>
          <w:szCs w:val="24"/>
        </w:rPr>
      </w:pPr>
      <w:r w:rsidRPr="00DB625E">
        <w:rPr>
          <w:rFonts w:ascii="Times New Roman" w:hAnsi="Times New Roman" w:cs="Times New Roman"/>
          <w:sz w:val="24"/>
          <w:szCs w:val="24"/>
        </w:rPr>
        <w:t>1 mL tuberculin syringes equipped with 26G needles (17)</w:t>
      </w:r>
    </w:p>
    <w:p w:rsidR="00B34B3A" w:rsidRPr="00DB625E" w:rsidRDefault="00B34B3A" w:rsidP="00B34B3A">
      <w:pPr>
        <w:pStyle w:val="ListParagraph"/>
        <w:numPr>
          <w:ilvl w:val="0"/>
          <w:numId w:val="30"/>
        </w:numPr>
        <w:spacing w:line="480" w:lineRule="auto"/>
        <w:rPr>
          <w:rFonts w:ascii="Times New Roman" w:hAnsi="Times New Roman" w:cs="Times New Roman"/>
          <w:sz w:val="24"/>
          <w:szCs w:val="24"/>
        </w:rPr>
      </w:pPr>
      <w:r w:rsidRPr="00DB625E">
        <w:rPr>
          <w:rFonts w:ascii="Times New Roman" w:hAnsi="Times New Roman" w:cs="Times New Roman"/>
          <w:sz w:val="24"/>
          <w:szCs w:val="24"/>
        </w:rPr>
        <w:t>(16) labeled: “blood”, &lt;condition&gt;, &lt;replicate&gt;</w:t>
      </w:r>
    </w:p>
    <w:p w:rsidR="00B34B3A" w:rsidRPr="00DB625E" w:rsidRDefault="00B34B3A" w:rsidP="00B34B3A">
      <w:pPr>
        <w:pStyle w:val="ListParagraph"/>
        <w:numPr>
          <w:ilvl w:val="0"/>
          <w:numId w:val="30"/>
        </w:numPr>
        <w:spacing w:line="480" w:lineRule="auto"/>
        <w:rPr>
          <w:rFonts w:ascii="Times New Roman" w:hAnsi="Times New Roman" w:cs="Times New Roman"/>
          <w:sz w:val="24"/>
          <w:szCs w:val="24"/>
        </w:rPr>
      </w:pPr>
      <w:r w:rsidRPr="00DB625E">
        <w:rPr>
          <w:rFonts w:ascii="Times New Roman" w:hAnsi="Times New Roman" w:cs="Times New Roman"/>
          <w:sz w:val="24"/>
          <w:szCs w:val="24"/>
        </w:rPr>
        <w:t>(1) unlabeled: used for injectable anesthesia</w:t>
      </w:r>
    </w:p>
    <w:p w:rsidR="00B34B3A" w:rsidRPr="00DB625E" w:rsidRDefault="00B34B3A" w:rsidP="00B34B3A">
      <w:pPr>
        <w:pStyle w:val="ListParagraph"/>
        <w:numPr>
          <w:ilvl w:val="0"/>
          <w:numId w:val="31"/>
        </w:numPr>
        <w:spacing w:line="480" w:lineRule="auto"/>
        <w:rPr>
          <w:rFonts w:ascii="Times New Roman" w:hAnsi="Times New Roman" w:cs="Times New Roman"/>
          <w:sz w:val="24"/>
          <w:szCs w:val="24"/>
        </w:rPr>
      </w:pPr>
      <w:r w:rsidRPr="00DB625E">
        <w:rPr>
          <w:rFonts w:ascii="Times New Roman" w:hAnsi="Times New Roman" w:cs="Times New Roman"/>
          <w:sz w:val="24"/>
          <w:szCs w:val="24"/>
        </w:rPr>
        <w:t>60 x 15 mm polystyrene petri dishes (64)</w:t>
      </w:r>
    </w:p>
    <w:p w:rsidR="00B34B3A" w:rsidRPr="00DB625E" w:rsidRDefault="00B34B3A" w:rsidP="00B34B3A">
      <w:pPr>
        <w:pStyle w:val="ListParagraph"/>
        <w:numPr>
          <w:ilvl w:val="0"/>
          <w:numId w:val="30"/>
        </w:numPr>
        <w:spacing w:line="480" w:lineRule="auto"/>
        <w:rPr>
          <w:rFonts w:ascii="Times New Roman" w:hAnsi="Times New Roman" w:cs="Times New Roman"/>
          <w:sz w:val="24"/>
          <w:szCs w:val="24"/>
        </w:rPr>
      </w:pPr>
      <w:r w:rsidRPr="00DB625E">
        <w:rPr>
          <w:rFonts w:ascii="Times New Roman" w:hAnsi="Times New Roman" w:cs="Times New Roman"/>
          <w:sz w:val="24"/>
          <w:szCs w:val="24"/>
        </w:rPr>
        <w:t xml:space="preserve">labeled: &lt;tissue&gt; (excluding blood), &lt;condition&gt;, &lt;replicate&gt; </w:t>
      </w:r>
    </w:p>
    <w:p w:rsidR="00B34B3A" w:rsidRPr="00DB625E" w:rsidRDefault="00B34B3A" w:rsidP="00B34B3A">
      <w:pPr>
        <w:pStyle w:val="ListParagraph"/>
        <w:numPr>
          <w:ilvl w:val="0"/>
          <w:numId w:val="30"/>
        </w:numPr>
        <w:spacing w:line="480" w:lineRule="auto"/>
        <w:rPr>
          <w:rFonts w:ascii="Times New Roman" w:hAnsi="Times New Roman" w:cs="Times New Roman"/>
          <w:sz w:val="24"/>
          <w:szCs w:val="24"/>
        </w:rPr>
      </w:pPr>
      <w:r w:rsidRPr="00DB625E">
        <w:rPr>
          <w:rFonts w:ascii="Times New Roman" w:hAnsi="Times New Roman" w:cs="Times New Roman"/>
          <w:sz w:val="24"/>
          <w:szCs w:val="24"/>
        </w:rPr>
        <w:t>4 mL of supplemented RPMI-1640 was added to each dish</w:t>
      </w:r>
    </w:p>
    <w:p w:rsidR="00B34B3A" w:rsidRPr="00DB625E" w:rsidRDefault="00B34B3A" w:rsidP="00B34B3A">
      <w:pPr>
        <w:pStyle w:val="ListParagraph"/>
        <w:numPr>
          <w:ilvl w:val="0"/>
          <w:numId w:val="31"/>
        </w:numPr>
        <w:spacing w:line="480" w:lineRule="auto"/>
        <w:rPr>
          <w:rFonts w:ascii="Times New Roman" w:hAnsi="Times New Roman" w:cs="Times New Roman"/>
          <w:sz w:val="24"/>
          <w:szCs w:val="24"/>
        </w:rPr>
      </w:pPr>
      <w:r w:rsidRPr="00DB625E">
        <w:rPr>
          <w:rFonts w:ascii="Times New Roman" w:hAnsi="Times New Roman" w:cs="Times New Roman"/>
          <w:sz w:val="24"/>
          <w:szCs w:val="24"/>
        </w:rPr>
        <w:t>0.5 mL microcentrifuge tubes (80)</w:t>
      </w:r>
    </w:p>
    <w:p w:rsidR="00B34B3A" w:rsidRPr="00DB625E" w:rsidRDefault="00B34B3A" w:rsidP="00B34B3A">
      <w:pPr>
        <w:pStyle w:val="ListParagraph"/>
        <w:numPr>
          <w:ilvl w:val="0"/>
          <w:numId w:val="30"/>
        </w:numPr>
        <w:spacing w:line="480" w:lineRule="auto"/>
        <w:rPr>
          <w:rFonts w:ascii="Times New Roman" w:hAnsi="Times New Roman" w:cs="Times New Roman"/>
          <w:sz w:val="24"/>
          <w:szCs w:val="24"/>
        </w:rPr>
      </w:pPr>
      <w:r w:rsidRPr="00DB625E">
        <w:rPr>
          <w:rFonts w:ascii="Times New Roman" w:hAnsi="Times New Roman" w:cs="Times New Roman"/>
          <w:sz w:val="24"/>
          <w:szCs w:val="24"/>
        </w:rPr>
        <w:t>labeled: &lt;tissue&gt;, &lt;condition&gt;, &lt;replicate&gt;</w:t>
      </w:r>
    </w:p>
    <w:p w:rsidR="00B34B3A" w:rsidRPr="00DB625E" w:rsidRDefault="00B34B3A" w:rsidP="00B34B3A">
      <w:pPr>
        <w:spacing w:line="480" w:lineRule="auto"/>
        <w:contextualSpacing/>
      </w:pPr>
      <w:r w:rsidRPr="00DB625E">
        <w:t>One-hundred (100) μL of a 10% EDTA solution was added to each 15 mL conical tube. Four (4) mL of supplemented RPMI-1640 was added to each 60 x 15 mm polystyrene petri dish with the exception of those labeled “marrow”, to which only 2 mL of supplemented media was added (the other 2 mL of supplemented RPMI-1640 was to be placed into each of the (16) 3 mL syringes). One-hundred ninety-eight (198) μL of flow buffer was added to each microcentrifuge tube. Fifty (50) μL of a 10% EDTA solution was added to each 1 mL tuberculin syringe to coat the inner barrel with EDTA by operating the plunger several times. All conical tubes, petri dishes, 3 mL syringes, and microcentrifuge tubes were stored on ice or at 4°C.</w:t>
      </w:r>
    </w:p>
    <w:p w:rsidR="00B34B3A" w:rsidRPr="00DB625E" w:rsidRDefault="00B34B3A" w:rsidP="00B34B3A">
      <w:pPr>
        <w:spacing w:line="480" w:lineRule="auto"/>
        <w:ind w:firstLine="720"/>
        <w:contextualSpacing/>
      </w:pPr>
      <w:r w:rsidRPr="00DB625E">
        <w:t xml:space="preserve">Sixteen (16) mice were terminally anesthetized in series with a 150 mg/kg of ketamine hydrochloride and 20 mg/kg xylazine hydrochloride diluted in sterile 0.9% NaCl delivered </w:t>
      </w:r>
      <w:r>
        <w:t>with</w:t>
      </w:r>
      <w:r w:rsidRPr="00DB625E">
        <w:t xml:space="preserve"> the unlabeled 1 mL tuberculin syringe as a single i.p. injection. Refer to accompanying spreadsheet for preparation details (</w:t>
      </w:r>
      <w:r w:rsidRPr="00DB625E">
        <w:rPr>
          <w:b/>
        </w:rPr>
        <w:t xml:space="preserve">Supplementary Table </w:t>
      </w:r>
      <w:r>
        <w:rPr>
          <w:b/>
        </w:rPr>
        <w:t>2</w:t>
      </w:r>
      <w:r w:rsidRPr="00DB625E">
        <w:t xml:space="preserve">). Once non-responsive to both toe and tail pinch, each mouse was pinned ventral side up to an extruded polystyrene foam block by its front and hind paws using four 26G needles and sprayed down with 70% EtOH to prevent fur </w:t>
      </w:r>
      <w:r w:rsidRPr="00DB625E">
        <w:lastRenderedPageBreak/>
        <w:t xml:space="preserve">from entering the dissection cavity. Lymphoid organs were harvested in the following order: blood, thymus, spleen, superficial/deep cervical lymph nodes, bone marrow. </w:t>
      </w:r>
      <w:r w:rsidRPr="00DB625E">
        <w:rPr>
          <w:i/>
        </w:rPr>
        <w:t>Blood</w:t>
      </w:r>
      <w:r w:rsidRPr="00DB625E">
        <w:t>: after making a “y” incision from the gut to the rib cage to expose the heart, whole blood was aspirated from the right ventricle directly into one of the aforementioned EDTA-coated 1 mL tuberculin syringes. The needle was removed before expelling blood into its respectively labeled 15 mL conical tube stored on ice. Each mouse was then transcardially perfused with heparinized and oxygenated (95% O</w:t>
      </w:r>
      <w:r w:rsidRPr="00DB625E">
        <w:rPr>
          <w:vertAlign w:val="subscript"/>
        </w:rPr>
        <w:t>2</w:t>
      </w:r>
      <w:r w:rsidRPr="00DB625E">
        <w:t>/5% CO</w:t>
      </w:r>
      <w:r w:rsidRPr="00DB625E">
        <w:rPr>
          <w:vertAlign w:val="subscript"/>
        </w:rPr>
        <w:t>2</w:t>
      </w:r>
      <w:r w:rsidRPr="00DB625E">
        <w:t>) Tyrode’s solution at a rate of 4.0 mL/minute for at least 2 minutes in a laminar flow hood to fully exsanguinate the circulatory system. The method for mouse transcardial perfusion has been described in detail elsewhere</w:t>
      </w:r>
      <w:r>
        <w:fldChar w:fldCharType="begin"/>
      </w:r>
      <w:r>
        <w:instrText xml:space="preserve"> ADDIN ZOTERO_ITEM CSL_CITATION {"citationID":"ID2YY6z6","properties":{"formattedCitation":"\\super 51\\nosupersub{}","plainCitation":"51","noteIndex":0},"citationItems":[{"id":67,"uris":["http://zotero.org/users/local/oR8ZFVJz/items/5V6PGCU9"],"uri":["http://zotero.org/users/local/oR8ZFVJz/items/5V6PGCU9"],"itemData":{"id":67,"type":"article-journal","title":"Isolation and Flow Cytometric Analysis of Glioma-infiltrating Peripheral Blood Mononuclear Cells","container-title":"Journal of Visualized Experiments: JoVE","issue":"105","source":"PubMed","abstract":"Our laboratory has recently demonstrated that natural killer (NK) cells are capable of eradicating orthotopically implanted mouse GL26 and rat CNS-1 malignant gliomas soon after intracranial engraftment if the cancer cells are rendered deficient in their expression of the β-galactoside-binding lectin galectin-1 (gal-1). More recent work now shows that a population of Gr-1+/CD11b+ myeloid cells is critical to this effect. To better understand the mechanisms by which NK and myeloid cells cooperate to confer gal-1-deficient tumor rejection we have developed a comprehensive protocol for the isolation and analysis of glioma-infiltrating peripheral blood mononuclear cells (PBMC). The method is demonstrated here by comparing PBMC infiltration into the tumor microenvironment of gal-1-expressing GL26 gliomas with those rendered gal-1-deficient via shRNA knockdown. The protocol begins with a description of how to culture and prepare GL26 cells for inoculation into the syngeneic C57BL/6J mouse brain. It then explains the steps involved in the isolation and flow cytometric analysis of glioma-infiltrating PBMCs from the early brain tumor microenvironment. The method is adaptable to a number of in vivo experimental designs in which temporal data on immune infiltration into the brain is required. The method is sensitive and highly reproducible, as glioma-infiltrating PBMCs can be isolated from intracranial tumors as soon as 24 hr post-tumor engraftment with similar cell counts observed from time point matched tumors throughout independent experiments. A single experimentalist can perform the method from brain harvesting to flow cytometric analysis of glioma-infiltrating PBMCs in roughly 4-6 hr depending on the number of samples to be analyzed. Alternative glioma models and/or cell-specific detection antibodies may also be used at the experimentalists' discretion to assess the infiltration of several other immune cell types of interest without the need for alterations to the overall procedure.","DOI":"10.3791/53676","ISSN":"1940-087X","note":"PMID: 26650233\nPMCID: PMC4692754","journalAbbreviation":"J Vis Exp","language":"eng","author":[{"family":"Baker","given":"Gregory J."},{"family":"Castro","given":"Maria G."},{"family":"Lowenstein","given":"Pedro R."}],"issued":{"date-parts":[["2015",11,28]]}}}],"schema":"https://github.com/citation-style-language/schema/raw/master/csl-citation.json"} </w:instrText>
      </w:r>
      <w:r>
        <w:fldChar w:fldCharType="separate"/>
      </w:r>
      <w:r w:rsidRPr="00A350E1">
        <w:rPr>
          <w:vertAlign w:val="superscript"/>
        </w:rPr>
        <w:t>51</w:t>
      </w:r>
      <w:r>
        <w:fldChar w:fldCharType="end"/>
      </w:r>
      <w:r w:rsidRPr="00DB625E">
        <w:t xml:space="preserve">. </w:t>
      </w:r>
      <w:r w:rsidRPr="00DB625E">
        <w:rPr>
          <w:i/>
        </w:rPr>
        <w:t>Thymus</w:t>
      </w:r>
      <w:r w:rsidRPr="00DB625E">
        <w:t xml:space="preserve">: Once exsanguinated, each mouse was returned to the extruded polystyrene foam block </w:t>
      </w:r>
      <w:r>
        <w:t>for thymus excision</w:t>
      </w:r>
      <w:r w:rsidRPr="00DB625E">
        <w:t xml:space="preserve"> </w:t>
      </w:r>
      <w:r>
        <w:t>with</w:t>
      </w:r>
      <w:r w:rsidRPr="00DB625E">
        <w:t xml:space="preserve"> small dissection scissors and fine-tipped bent forceps being careful to remove </w:t>
      </w:r>
      <w:r>
        <w:t xml:space="preserve">any </w:t>
      </w:r>
      <w:r w:rsidRPr="00DB625E">
        <w:t xml:space="preserve">contaminating adipose and the mediastinal lymph nodes. Thymi were placed into respectively labeled 60 x 15 mm polystyrene petri dishes on ice. </w:t>
      </w:r>
      <w:r w:rsidRPr="00DB625E">
        <w:rPr>
          <w:i/>
        </w:rPr>
        <w:t>Spleen</w:t>
      </w:r>
      <w:r w:rsidRPr="00DB625E">
        <w:t xml:space="preserve">: Spleens were excised using small dissection scissors and fine-tipped bent forceps and placed into respectively labeled 60 x 15 mm polystyrene petri dishes on ice. </w:t>
      </w:r>
      <w:r w:rsidRPr="00DB625E">
        <w:rPr>
          <w:i/>
        </w:rPr>
        <w:t>Superficial/deep cervical lymph nodes</w:t>
      </w:r>
      <w:r w:rsidRPr="00DB625E">
        <w:t xml:space="preserve">: Lymph nodes were dissected under a dissection microscope using small dissection scissors and fine-tipped bent forceps. Excised nodes were placed into respectively labeled 60 x 15 mm polystyrene petri dishes on ice. </w:t>
      </w:r>
      <w:r w:rsidRPr="00DB625E">
        <w:rPr>
          <w:i/>
        </w:rPr>
        <w:t>Bone marrow</w:t>
      </w:r>
      <w:r w:rsidRPr="00DB625E">
        <w:t xml:space="preserve">: The right hind limb of each mouse was removed using bone cutters. Musculature and tendons were stripped away from the femur and tibia and the proximal and distal epiphyses of each bone were removed using a single-edged razor blade. Marrow from the two bones was flushed into the </w:t>
      </w:r>
      <w:r>
        <w:t>respectively</w:t>
      </w:r>
      <w:r w:rsidRPr="00DB625E">
        <w:t xml:space="preserve"> labeled 60 x 15 mm polystyrene petri dish on ice</w:t>
      </w:r>
      <w:r w:rsidRPr="00DB625E" w:rsidDel="00F113EE">
        <w:t xml:space="preserve"> </w:t>
      </w:r>
      <w:r w:rsidRPr="00DB625E">
        <w:t xml:space="preserve">using the 2 mL of supplemented RPMI-1640 in the respectively labeled 3 mL syringe. Flushed marrow was gently aspirated and expelled back into the petri dish </w:t>
      </w:r>
      <w:r>
        <w:t>one time</w:t>
      </w:r>
      <w:r w:rsidRPr="00DB625E">
        <w:t xml:space="preserve"> to facilitate cell dissociation.</w:t>
      </w:r>
    </w:p>
    <w:p w:rsidR="00B34B3A" w:rsidRPr="00DB625E" w:rsidRDefault="00B34B3A" w:rsidP="00B34B3A">
      <w:pPr>
        <w:spacing w:line="480" w:lineRule="auto"/>
        <w:contextualSpacing/>
      </w:pPr>
      <w:r w:rsidRPr="00DB625E">
        <w:rPr>
          <w:b/>
        </w:rPr>
        <w:lastRenderedPageBreak/>
        <w:tab/>
      </w:r>
      <w:r w:rsidRPr="00DB625E">
        <w:t xml:space="preserve">Thymi, spleens, and cervical lymph nodes were macerated using opposing frosted ends of 2 glass microscope slides which were dipped into the 4 mL of supplemented RPMI-1640 of the respectively labeled 60 x 15 mm polystyrene petri dish to collect as may cells as possible. Plastic Pasteur pipettes were used to transfer lymph nodes onto the frosted end of one glass microscope slide for maceration. A fresh pair of slides were used for each tissue to prevent sample cross-contamination. Five (5) mL of ice-cold DPBS was added to each petri dish prior to filtering </w:t>
      </w:r>
      <w:r>
        <w:t>each cell suspension</w:t>
      </w:r>
      <w:r w:rsidRPr="00DB625E">
        <w:t xml:space="preserve"> through a </w:t>
      </w:r>
      <w:r>
        <w:t>fresh</w:t>
      </w:r>
      <w:r w:rsidRPr="00DB625E">
        <w:t xml:space="preserve"> 40 μm nylon mesh into respectively labeled 15 mL conical tubes on ice using a </w:t>
      </w:r>
      <w:r>
        <w:t>fresh</w:t>
      </w:r>
      <w:r w:rsidRPr="00DB625E">
        <w:t xml:space="preserve"> 10 mL serological pipette for every sample. Filtered samples were centrifuged at 400 x g (max RCF) for 10 minutes at 4°C. Cell supernatants were aspirated and each pellet was </w:t>
      </w:r>
      <w:proofErr w:type="gramStart"/>
      <w:r w:rsidRPr="00DB625E">
        <w:t>resuspend</w:t>
      </w:r>
      <w:proofErr w:type="gramEnd"/>
      <w:r w:rsidRPr="00DB625E">
        <w:t xml:space="preserve"> in 4 mL of a 1X ACK lysing buffer using a fresh 5 mL serological pipette for each sample to avoid cross-contamination. Samples were placed on ice for 5 minutes to lyse RBCs. Tissue samples were centrifuged at 400 x g (max RCF) for 10 minutes at 4°C, had their supernatants aspirated, and their cells resuspended in flow buffer + azide using the following volumes: 1000 μL for thymi; 1000 μL for spleens; 200 μL for bone marrow; 100 μL for deep/superficial cervical lymph nodes.</w:t>
      </w:r>
    </w:p>
    <w:p w:rsidR="00B34B3A" w:rsidRPr="00DB625E" w:rsidRDefault="00B34B3A" w:rsidP="00B34B3A">
      <w:pPr>
        <w:spacing w:line="480" w:lineRule="auto"/>
        <w:ind w:firstLine="720"/>
        <w:contextualSpacing/>
      </w:pPr>
      <w:r w:rsidRPr="00DB625E">
        <w:t xml:space="preserve">Blood samples were next lysed by adding 10 mL of 1X ACK lysing buffer to each 15 mL polypropylene conical tube. Tubes were placed back on ice for 5 minutes (or until blood color changed from dark burgundy to bright red). Blood samples were then centrifuged at 400 x g (max RCF) for 10 minutes at 4°C, their supernatants aspirated, and their WBC pellets resuspended with 200 μL of flow buffer + azide. Samples were stored on ice. </w:t>
      </w:r>
    </w:p>
    <w:p w:rsidR="00B34B3A" w:rsidRPr="00DB625E" w:rsidRDefault="00B34B3A" w:rsidP="00B34B3A">
      <w:pPr>
        <w:spacing w:line="480" w:lineRule="auto"/>
        <w:contextualSpacing/>
      </w:pPr>
      <w:r w:rsidRPr="00DB625E">
        <w:tab/>
        <w:t xml:space="preserve">Two (2) μL of each tissue sample were then added to the 198 μL of flow buffer (a 1:100 dilution) in the respectively labeled 0.5 mL microcentrifuge tubes using a P20 micropipette equipped with a gel loading tip. Ten (10) μL of each 1:100 dilution was further diluted 1:1 with a </w:t>
      </w:r>
      <w:r w:rsidRPr="00DB625E">
        <w:lastRenderedPageBreak/>
        <w:t xml:space="preserve">0.4% </w:t>
      </w:r>
      <w:r>
        <w:t>t</w:t>
      </w:r>
      <w:r w:rsidRPr="00DB625E">
        <w:t xml:space="preserve">rypan </w:t>
      </w:r>
      <w:r>
        <w:t>b</w:t>
      </w:r>
      <w:r w:rsidRPr="00DB625E">
        <w:t xml:space="preserve">lue solution. Ten (10) μL of the resultant solution was then used to estimate cell number using a brightfield microscope and </w:t>
      </w:r>
      <w:r>
        <w:t xml:space="preserve">a </w:t>
      </w:r>
      <w:r w:rsidRPr="00DB625E">
        <w:t xml:space="preserve">glass hemocytometer. Typical cell </w:t>
      </w:r>
      <w:r>
        <w:t>yields</w:t>
      </w:r>
      <w:r w:rsidRPr="00DB625E">
        <w:t xml:space="preserve"> were as follows: 3x10</w:t>
      </w:r>
      <w:r w:rsidRPr="00DB625E">
        <w:rPr>
          <w:vertAlign w:val="superscript"/>
        </w:rPr>
        <w:t>5</w:t>
      </w:r>
      <w:r w:rsidRPr="00DB625E">
        <w:t xml:space="preserve"> – 1x10</w:t>
      </w:r>
      <w:r w:rsidRPr="00DB625E">
        <w:rPr>
          <w:vertAlign w:val="superscript"/>
        </w:rPr>
        <w:t>6</w:t>
      </w:r>
      <w:r w:rsidRPr="00DB625E">
        <w:t xml:space="preserve"> cells from</w:t>
      </w:r>
      <w:r>
        <w:t xml:space="preserve"> the</w:t>
      </w:r>
      <w:r w:rsidRPr="00DB625E">
        <w:t xml:space="preserve"> blood; 3x10</w:t>
      </w:r>
      <w:r w:rsidRPr="00DB625E">
        <w:rPr>
          <w:vertAlign w:val="superscript"/>
        </w:rPr>
        <w:t>7</w:t>
      </w:r>
      <w:r w:rsidRPr="00DB625E">
        <w:t xml:space="preserve"> – 8x10</w:t>
      </w:r>
      <w:r w:rsidRPr="00DB625E">
        <w:rPr>
          <w:vertAlign w:val="superscript"/>
        </w:rPr>
        <w:t>7</w:t>
      </w:r>
      <w:r w:rsidRPr="00DB625E">
        <w:t xml:space="preserve"> cells from </w:t>
      </w:r>
      <w:r>
        <w:t>the spleen</w:t>
      </w:r>
      <w:r w:rsidRPr="00DB625E">
        <w:t>; 6x10</w:t>
      </w:r>
      <w:r w:rsidRPr="00DB625E">
        <w:rPr>
          <w:vertAlign w:val="superscript"/>
        </w:rPr>
        <w:t>7</w:t>
      </w:r>
      <w:r w:rsidRPr="00DB625E">
        <w:t xml:space="preserve"> – 8x10</w:t>
      </w:r>
      <w:r w:rsidRPr="00DB625E">
        <w:rPr>
          <w:vertAlign w:val="superscript"/>
        </w:rPr>
        <w:t>7</w:t>
      </w:r>
      <w:r w:rsidRPr="00DB625E">
        <w:t xml:space="preserve"> from </w:t>
      </w:r>
      <w:r>
        <w:t>the thymus</w:t>
      </w:r>
      <w:r w:rsidRPr="00DB625E">
        <w:t>; 6x10</w:t>
      </w:r>
      <w:r w:rsidRPr="00DB625E">
        <w:rPr>
          <w:vertAlign w:val="superscript"/>
        </w:rPr>
        <w:t>6</w:t>
      </w:r>
      <w:r w:rsidRPr="00DB625E">
        <w:t xml:space="preserve"> – 1.5x10</w:t>
      </w:r>
      <w:r w:rsidRPr="00DB625E">
        <w:rPr>
          <w:vertAlign w:val="superscript"/>
        </w:rPr>
        <w:t>7</w:t>
      </w:r>
      <w:r w:rsidRPr="00DB625E">
        <w:t xml:space="preserve"> from </w:t>
      </w:r>
      <w:r>
        <w:t xml:space="preserve">the </w:t>
      </w:r>
      <w:r w:rsidRPr="00DB625E">
        <w:t>combined deep/superficial cervical lymph nodes; 9x10</w:t>
      </w:r>
      <w:r w:rsidRPr="00DB625E">
        <w:rPr>
          <w:vertAlign w:val="superscript"/>
        </w:rPr>
        <w:t>6</w:t>
      </w:r>
      <w:r w:rsidRPr="00DB625E">
        <w:t xml:space="preserve"> – 1.5x10</w:t>
      </w:r>
      <w:r w:rsidRPr="00DB625E">
        <w:rPr>
          <w:vertAlign w:val="superscript"/>
        </w:rPr>
        <w:t>7</w:t>
      </w:r>
      <w:r w:rsidRPr="00DB625E">
        <w:t xml:space="preserve"> from </w:t>
      </w:r>
      <w:r>
        <w:t xml:space="preserve">the </w:t>
      </w:r>
      <w:r w:rsidRPr="00DB625E">
        <w:t xml:space="preserve">bone marrow. Cell counts were recorded in </w:t>
      </w:r>
      <w:proofErr w:type="gramStart"/>
      <w:r w:rsidRPr="00DB625E">
        <w:t>an</w:t>
      </w:r>
      <w:proofErr w:type="gramEnd"/>
      <w:r w:rsidRPr="00DB625E">
        <w:t xml:space="preserve"> spreadsheet which returned the volume of additional flow buffer + azide required per sample to achieve a final concentration of approximately 2x10</w:t>
      </w:r>
      <w:r w:rsidRPr="00DB625E">
        <w:rPr>
          <w:vertAlign w:val="superscript"/>
        </w:rPr>
        <w:t>7</w:t>
      </w:r>
      <w:r w:rsidRPr="00DB625E">
        <w:t xml:space="preserve"> cells/mL (</w:t>
      </w:r>
      <w:r w:rsidRPr="00DB625E">
        <w:rPr>
          <w:b/>
        </w:rPr>
        <w:t xml:space="preserve">Supplementary Table </w:t>
      </w:r>
      <w:r>
        <w:rPr>
          <w:b/>
        </w:rPr>
        <w:t>2</w:t>
      </w:r>
      <w:r w:rsidRPr="00DB625E">
        <w:t>). Because mouse blood typically contained less than 2x10</w:t>
      </w:r>
      <w:r w:rsidRPr="00DB625E">
        <w:rPr>
          <w:vertAlign w:val="superscript"/>
        </w:rPr>
        <w:t>6</w:t>
      </w:r>
      <w:r w:rsidRPr="00DB625E">
        <w:t xml:space="preserve"> total cells, the 200 μL volume of each blood sample was simply split between the respective experimental well and the CD49b single-positive compensation control well (</w:t>
      </w:r>
      <w:r w:rsidRPr="00EE7A7C">
        <w:rPr>
          <w:b/>
        </w:rPr>
        <w:t xml:space="preserve">see Supplementary Fig. 2e for </w:t>
      </w:r>
      <w:r>
        <w:rPr>
          <w:b/>
        </w:rPr>
        <w:t xml:space="preserve">plate </w:t>
      </w:r>
      <w:r w:rsidRPr="00EE7A7C">
        <w:rPr>
          <w:b/>
        </w:rPr>
        <w:t>details</w:t>
      </w:r>
      <w:r w:rsidRPr="00DB625E">
        <w:t>).</w:t>
      </w:r>
    </w:p>
    <w:p w:rsidR="00B34B3A" w:rsidRPr="00DB625E" w:rsidRDefault="00B34B3A" w:rsidP="00B34B3A">
      <w:pPr>
        <w:spacing w:line="480" w:lineRule="auto"/>
        <w:contextualSpacing/>
      </w:pPr>
    </w:p>
    <w:p w:rsidR="00B34B3A" w:rsidRPr="001A043F" w:rsidRDefault="00B34B3A" w:rsidP="00B34B3A">
      <w:pPr>
        <w:spacing w:line="480" w:lineRule="auto"/>
        <w:contextualSpacing/>
        <w:rPr>
          <w:b/>
        </w:rPr>
      </w:pPr>
      <w:r w:rsidRPr="00A30214">
        <w:rPr>
          <w:b/>
          <w:bCs/>
        </w:rPr>
        <w:t>Immunolabeling</w:t>
      </w:r>
      <w:r>
        <w:rPr>
          <w:b/>
        </w:rPr>
        <w:t xml:space="preserve">. </w:t>
      </w:r>
      <w:r w:rsidRPr="00DB625E">
        <w:t>The following disposable reagents were gathered and labeled before each of</w:t>
      </w:r>
      <w:r>
        <w:t xml:space="preserve"> our study’s</w:t>
      </w:r>
      <w:r w:rsidRPr="00DB625E">
        <w:t xml:space="preserve"> 3</w:t>
      </w:r>
      <w:r>
        <w:t xml:space="preserve"> time points</w:t>
      </w:r>
      <w:r w:rsidRPr="00DB625E">
        <w:t>:</w:t>
      </w:r>
    </w:p>
    <w:p w:rsidR="00B34B3A" w:rsidRPr="00DB625E" w:rsidRDefault="00B34B3A" w:rsidP="00B34B3A">
      <w:pPr>
        <w:pStyle w:val="ListParagraph"/>
        <w:numPr>
          <w:ilvl w:val="0"/>
          <w:numId w:val="26"/>
        </w:numPr>
        <w:spacing w:line="480" w:lineRule="auto"/>
        <w:rPr>
          <w:rFonts w:ascii="Times New Roman" w:hAnsi="Times New Roman" w:cs="Times New Roman"/>
          <w:sz w:val="24"/>
          <w:szCs w:val="24"/>
        </w:rPr>
      </w:pPr>
      <w:r w:rsidRPr="00DB625E">
        <w:rPr>
          <w:rFonts w:ascii="Times New Roman" w:hAnsi="Times New Roman" w:cs="Times New Roman"/>
          <w:sz w:val="24"/>
          <w:szCs w:val="24"/>
        </w:rPr>
        <w:t>1.5 mL microcentrifuge tubes (12)</w:t>
      </w:r>
    </w:p>
    <w:p w:rsidR="00B34B3A" w:rsidRPr="00DB625E" w:rsidRDefault="00B34B3A" w:rsidP="00B34B3A">
      <w:pPr>
        <w:pStyle w:val="ListParagraph"/>
        <w:numPr>
          <w:ilvl w:val="0"/>
          <w:numId w:val="28"/>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labeled in duplicate: &lt;target antibody or CD45 isotype&gt;</w:t>
      </w:r>
    </w:p>
    <w:p w:rsidR="00B34B3A" w:rsidRPr="00DB625E" w:rsidRDefault="00B34B3A" w:rsidP="00B34B3A">
      <w:pPr>
        <w:pStyle w:val="ListParagraph"/>
        <w:numPr>
          <w:ilvl w:val="0"/>
          <w:numId w:val="28"/>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tubes were placed into a microcentrifuge tube rack on ice</w:t>
      </w:r>
    </w:p>
    <w:p w:rsidR="00B34B3A" w:rsidRPr="00DB625E" w:rsidRDefault="00B34B3A" w:rsidP="00B34B3A">
      <w:pPr>
        <w:pStyle w:val="ListParagraph"/>
        <w:numPr>
          <w:ilvl w:val="0"/>
          <w:numId w:val="26"/>
        </w:numPr>
        <w:spacing w:line="480" w:lineRule="auto"/>
        <w:rPr>
          <w:rFonts w:ascii="Times New Roman" w:hAnsi="Times New Roman" w:cs="Times New Roman"/>
          <w:sz w:val="24"/>
          <w:szCs w:val="24"/>
        </w:rPr>
      </w:pPr>
      <w:r w:rsidRPr="00DB625E">
        <w:rPr>
          <w:rFonts w:ascii="Times New Roman" w:hAnsi="Times New Roman" w:cs="Times New Roman"/>
          <w:sz w:val="24"/>
          <w:szCs w:val="24"/>
        </w:rPr>
        <w:t>12-well V-bottom reagent reservoir (1)</w:t>
      </w:r>
    </w:p>
    <w:p w:rsidR="00B34B3A" w:rsidRPr="00DB625E" w:rsidRDefault="00B34B3A" w:rsidP="00B34B3A">
      <w:pPr>
        <w:pStyle w:val="ListParagraph"/>
        <w:numPr>
          <w:ilvl w:val="0"/>
          <w:numId w:val="33"/>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individual compartments labeled: &lt;target antibody or CD45 isotype&gt;</w:t>
      </w:r>
    </w:p>
    <w:p w:rsidR="00B34B3A" w:rsidRPr="00DB625E" w:rsidRDefault="00B34B3A" w:rsidP="00B34B3A">
      <w:pPr>
        <w:pStyle w:val="ListParagraph"/>
        <w:numPr>
          <w:ilvl w:val="0"/>
          <w:numId w:val="33"/>
        </w:numPr>
        <w:spacing w:line="480" w:lineRule="auto"/>
        <w:rPr>
          <w:rFonts w:ascii="Times New Roman" w:hAnsi="Times New Roman" w:cs="Times New Roman"/>
          <w:sz w:val="24"/>
          <w:szCs w:val="24"/>
        </w:rPr>
      </w:pPr>
      <w:r w:rsidRPr="00DB625E">
        <w:rPr>
          <w:rFonts w:ascii="Times New Roman" w:hAnsi="Times New Roman" w:cs="Times New Roman"/>
          <w:sz w:val="24"/>
          <w:szCs w:val="24"/>
        </w:rPr>
        <w:t>15 mL conical tubes (2)</w:t>
      </w:r>
    </w:p>
    <w:p w:rsidR="00B34B3A" w:rsidRPr="00DB625E" w:rsidRDefault="00B34B3A" w:rsidP="00B34B3A">
      <w:pPr>
        <w:pStyle w:val="ListParagraph"/>
        <w:numPr>
          <w:ilvl w:val="0"/>
          <w:numId w:val="28"/>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one labeled “cocktail”, the other labeled “FVD”</w:t>
      </w:r>
    </w:p>
    <w:p w:rsidR="00B34B3A" w:rsidRPr="00DB625E" w:rsidRDefault="00B34B3A" w:rsidP="00B34B3A">
      <w:pPr>
        <w:pStyle w:val="ListParagraph"/>
        <w:numPr>
          <w:ilvl w:val="0"/>
          <w:numId w:val="28"/>
        </w:numPr>
        <w:spacing w:line="480" w:lineRule="auto"/>
        <w:ind w:firstLine="360"/>
        <w:rPr>
          <w:rFonts w:ascii="Times New Roman" w:hAnsi="Times New Roman" w:cs="Times New Roman"/>
          <w:sz w:val="24"/>
          <w:szCs w:val="24"/>
        </w:rPr>
      </w:pPr>
      <w:r w:rsidRPr="00DB625E">
        <w:rPr>
          <w:rFonts w:ascii="Times New Roman" w:hAnsi="Times New Roman" w:cs="Times New Roman"/>
          <w:sz w:val="24"/>
          <w:szCs w:val="24"/>
        </w:rPr>
        <w:t>placed on ice</w:t>
      </w:r>
    </w:p>
    <w:p w:rsidR="00B34B3A" w:rsidRPr="00DB625E" w:rsidRDefault="00B34B3A" w:rsidP="00B34B3A">
      <w:pPr>
        <w:spacing w:line="480" w:lineRule="auto"/>
        <w:contextualSpacing/>
      </w:pPr>
      <w:r w:rsidRPr="00DB625E">
        <w:t xml:space="preserve">Dilutions of each antibody (1:10) were </w:t>
      </w:r>
      <w:r>
        <w:t>prepared using</w:t>
      </w:r>
      <w:r w:rsidRPr="00DB625E">
        <w:t xml:space="preserve"> </w:t>
      </w:r>
      <w:r>
        <w:t>the</w:t>
      </w:r>
      <w:r w:rsidRPr="00DB625E">
        <w:t xml:space="preserve"> 12 microcentrifuge tubes. Refer to accompanying spreadsheet for preparation details (</w:t>
      </w:r>
      <w:r w:rsidRPr="00DB625E">
        <w:rPr>
          <w:b/>
        </w:rPr>
        <w:t xml:space="preserve">Supplementary Table </w:t>
      </w:r>
      <w:r>
        <w:rPr>
          <w:b/>
        </w:rPr>
        <w:t>2</w:t>
      </w:r>
      <w:r w:rsidRPr="00DB625E">
        <w:t xml:space="preserve">). From these 1:10 </w:t>
      </w:r>
      <w:r w:rsidRPr="00DB625E">
        <w:lastRenderedPageBreak/>
        <w:t>dilutions, antibodies were further diluted in the respective wells of a 12-well V-bottom reagent reservoir to achieve 100 μL volumes at the final antibody concentration to immunolabel the cells of each single-color compensation control. The remaining 1:10 antibody dilutions were used to prepare a master mix of combined target antibodies (excluding the CD45 isotype) placed in the 15 mL tube labeled “cocktail”. All final antibody dilutions were stored on ice in the dark.</w:t>
      </w:r>
    </w:p>
    <w:p w:rsidR="00B34B3A" w:rsidRPr="00DB625E" w:rsidRDefault="00B34B3A" w:rsidP="00B34B3A">
      <w:pPr>
        <w:spacing w:line="480" w:lineRule="auto"/>
        <w:ind w:firstLine="720"/>
        <w:contextualSpacing/>
      </w:pPr>
      <w:r w:rsidRPr="00DB625E">
        <w:t xml:space="preserve">One-hundred (100) μL aliquots of each cell suspension were added to the wells of a 96-well V-bottom microplate using a multichannel pipette according to the plate layout </w:t>
      </w:r>
      <w:r w:rsidR="00D50570">
        <w:t>shown</w:t>
      </w:r>
      <w:r w:rsidRPr="00DB625E">
        <w:t xml:space="preserve"> in (</w:t>
      </w:r>
      <w:r w:rsidR="00D50570" w:rsidRPr="00D50570">
        <w:rPr>
          <w:b/>
        </w:rPr>
        <w:t>Fig. 1</w:t>
      </w:r>
      <w:r w:rsidR="00D50570">
        <w:t xml:space="preserve"> and </w:t>
      </w:r>
      <w:r w:rsidRPr="00EE7A7C">
        <w:rPr>
          <w:b/>
        </w:rPr>
        <w:t>Su</w:t>
      </w:r>
      <w:bookmarkStart w:id="0" w:name="_GoBack"/>
      <w:bookmarkEnd w:id="0"/>
      <w:r w:rsidRPr="00EE7A7C">
        <w:rPr>
          <w:b/>
        </w:rPr>
        <w:t xml:space="preserve">pplementary Fig. </w:t>
      </w:r>
      <w:r w:rsidR="00D50570">
        <w:rPr>
          <w:b/>
        </w:rPr>
        <w:t>1h</w:t>
      </w:r>
      <w:r w:rsidRPr="00DB625E">
        <w:t>). The plate was then centrifuged at 100 x g (max RCF) for 6 minutes at 4°C. Fifty (50) μL of supernatant was aspirated and cells were resuspended with 100 μL of Fc block (15 μg/mL final concentration) the total volume of which was determined using the</w:t>
      </w:r>
      <w:r>
        <w:t xml:space="preserve"> </w:t>
      </w:r>
      <w:r w:rsidRPr="00DB625E">
        <w:t>spreadsheet (</w:t>
      </w:r>
      <w:r w:rsidRPr="00DB625E">
        <w:rPr>
          <w:b/>
        </w:rPr>
        <w:t xml:space="preserve">Supplementary Table </w:t>
      </w:r>
      <w:r>
        <w:rPr>
          <w:b/>
        </w:rPr>
        <w:t>2</w:t>
      </w:r>
      <w:r w:rsidRPr="00DB625E">
        <w:t>). Cells were block</w:t>
      </w:r>
      <w:r>
        <w:t>ed</w:t>
      </w:r>
      <w:r w:rsidRPr="00DB625E">
        <w:t xml:space="preserve"> on ice for 5 minutes before being centrifuged at 100 x g (max RCF) for 5 minutes at 4°C. Fifty (50) μL of cell supernatant was aspirated. The 80 experimental tissue samples were resuspended with 91 μL of the combined target antibodies from the tube labeled “cocktail”. The 100 μL volumes in the 12-well V-bottom reagent reservoir were added to the respective single-color compensation control wells; CD45 isotype antibodies were added to the “ISO” well. Cells in the “UNS” and “FVD” wells were resuspended with 91 μL of Brilliant Stain Buffer. The microplate was allowed to incubate on ice in the dark for 15 minutes before adding 100 μL of DPBS to each well and mixing thoroughly with a multichannel pipette. The plate was then centrifuged at 100 x g (max RCF) for 5 minutes at 4°C followed by aspirating 191 μL from each well. T</w:t>
      </w:r>
      <w:r>
        <w:t>wo-hundred (200) μL of DPBS were</w:t>
      </w:r>
      <w:r w:rsidRPr="00DB625E">
        <w:t xml:space="preserve"> added to each well using a multichannel pipette and mixed thoroughly by pipetting. The plate was centrifuged at 100 x g (max RCF) for 5 minutes at 4°C followed by a 200 μL aspiration of supernatant. Fixable viability dye was diluted 1.5:1,000 in 1X DPBS in the 15 mL conical tube </w:t>
      </w:r>
      <w:r w:rsidRPr="00DB625E">
        <w:lastRenderedPageBreak/>
        <w:t>labeled “FVD” according to the spreadsheet (</w:t>
      </w:r>
      <w:r w:rsidRPr="00DB625E">
        <w:rPr>
          <w:b/>
        </w:rPr>
        <w:t xml:space="preserve">Supplementary Table </w:t>
      </w:r>
      <w:r>
        <w:rPr>
          <w:b/>
        </w:rPr>
        <w:t>2</w:t>
      </w:r>
      <w:r w:rsidRPr="00DB625E">
        <w:t>). One-hundred (100) μL of the diluted FVD were added to each well (a 1:1,000 final dilution) except for the “UNS”, which was resuspended with 100 μL of DPBS only. Cells were incubate</w:t>
      </w:r>
      <w:r>
        <w:t>d</w:t>
      </w:r>
      <w:r w:rsidRPr="00DB625E">
        <w:t xml:space="preserve"> on ice in the dark for 30 minutes. One-hundred (100) μL of DPBS </w:t>
      </w:r>
      <w:r>
        <w:t>were</w:t>
      </w:r>
      <w:r w:rsidRPr="00DB625E">
        <w:t xml:space="preserve"> then added to each well and with a multichannel pipette and pipetted thoroughly to wash. The plate was centrifuged at 100 x g (max RCF) for 5 minutes at 4°C followed by a 200 μL aspiration, addition of 200 μL of DPBS using a multichannel pipette, and through mixing. The plate was centrifuged at 100 x g (max RCF) for 5 minutes at 4°C followed by a 200 μL aspiration.</w:t>
      </w:r>
    </w:p>
    <w:p w:rsidR="00B34B3A" w:rsidRPr="00DB625E" w:rsidRDefault="00B34B3A" w:rsidP="00B34B3A">
      <w:pPr>
        <w:spacing w:line="480" w:lineRule="auto"/>
        <w:contextualSpacing/>
      </w:pPr>
      <w:r w:rsidRPr="00DB625E">
        <w:tab/>
        <w:t xml:space="preserve">One-hundred (100) μL of a fixation/permeabilization solution were next added to each well and immediately resuspended with a multichannel pipette to prevent cell-to-cell crosslinking. Cells </w:t>
      </w:r>
      <w:r>
        <w:t xml:space="preserve">were </w:t>
      </w:r>
      <w:r w:rsidRPr="00DB625E">
        <w:t>incubate</w:t>
      </w:r>
      <w:r>
        <w:t>d</w:t>
      </w:r>
      <w:r w:rsidRPr="00DB625E">
        <w:t xml:space="preserve"> on ice in the dark for 20 minutes followed by the addition of 100 μL of flow buffer and thorough mixing with a multichannel pipette. The plate was centrifuged at 100 x g (max RCF) for 5 minutes at 4°C followed by a 200 μL aspiration and resuspension with 200 μL of flow buffer. A Microseal ‘F’ foil seal was applied to the top of the 96-well microplate to prevent dehydration, wrapped in aluminum foil to block light, and stored at 4°C prior to data acquisition by flow cytometry.</w:t>
      </w:r>
    </w:p>
    <w:p w:rsidR="00B34B3A" w:rsidRPr="00A30214" w:rsidRDefault="00B34B3A" w:rsidP="00B34B3A">
      <w:pPr>
        <w:spacing w:line="480" w:lineRule="auto"/>
        <w:contextualSpacing/>
        <w:rPr>
          <w:b/>
          <w:bCs/>
        </w:rPr>
      </w:pPr>
    </w:p>
    <w:p w:rsidR="00B34B3A" w:rsidRPr="001A043F" w:rsidRDefault="00B34B3A" w:rsidP="00B34B3A">
      <w:pPr>
        <w:spacing w:line="480" w:lineRule="auto"/>
        <w:contextualSpacing/>
        <w:rPr>
          <w:b/>
          <w:bCs/>
        </w:rPr>
      </w:pPr>
      <w:r w:rsidRPr="00A30214">
        <w:rPr>
          <w:b/>
          <w:bCs/>
        </w:rPr>
        <w:t>PMT Calibration</w:t>
      </w:r>
      <w:r>
        <w:rPr>
          <w:b/>
          <w:bCs/>
        </w:rPr>
        <w:t xml:space="preserve">. </w:t>
      </w:r>
      <w:r>
        <w:t xml:space="preserve">Detection channel </w:t>
      </w:r>
      <w:r w:rsidRPr="00DB625E">
        <w:t xml:space="preserve">PMT voltages were calibrated such that the signal intensity distribution corresponding to background autofluorescence of FVD-labeled splenocytes was on scale and to the left of center. FVD-labeled single-color compensation control splenocytes were run to verify that the assigned PMT voltages were compatible with the dynamic range of each immunomarker’s expression profile (i.e. that immunopositive cells were on scale). To prevent downstream compensation values from exceeding 100%, optical spillover of each </w:t>
      </w:r>
      <w:r w:rsidRPr="00DB625E">
        <w:lastRenderedPageBreak/>
        <w:t xml:space="preserve">single-color compensation control into off-target detection channels was checked to ensure that peak signal intensity occurred in the target detection channel. Sphero Rainbow Fluorescent Particles (single-positive beads) were run to </w:t>
      </w:r>
      <w:r>
        <w:t>pre</w:t>
      </w:r>
      <w:r w:rsidRPr="00DB625E">
        <w:t xml:space="preserve">define tolerability ranges for laser intensity, stability, and alignment </w:t>
      </w:r>
      <w:r>
        <w:t>before initiating our study so that</w:t>
      </w:r>
      <w:r w:rsidRPr="00DB625E">
        <w:t xml:space="preserve"> changes in laser emission power could be monitored and </w:t>
      </w:r>
      <w:r>
        <w:t>accounted</w:t>
      </w:r>
      <w:r w:rsidRPr="00DB625E">
        <w:t xml:space="preserve"> for between </w:t>
      </w:r>
      <w:r>
        <w:t xml:space="preserve">successive data acquisitions </w:t>
      </w:r>
      <w:r w:rsidRPr="00DB625E">
        <w:t>to prevent run-to-run variation. Single-positive beads were gated according to the following strategy:</w:t>
      </w:r>
    </w:p>
    <w:p w:rsidR="00B34B3A" w:rsidRPr="00DB625E" w:rsidRDefault="00B34B3A" w:rsidP="00B34B3A">
      <w:pPr>
        <w:pStyle w:val="ListParagraph"/>
        <w:numPr>
          <w:ilvl w:val="0"/>
          <w:numId w:val="24"/>
        </w:numPr>
        <w:spacing w:line="480" w:lineRule="auto"/>
        <w:rPr>
          <w:rFonts w:ascii="Times New Roman" w:hAnsi="Times New Roman" w:cs="Times New Roman"/>
          <w:sz w:val="24"/>
          <w:szCs w:val="24"/>
        </w:rPr>
      </w:pPr>
      <w:r w:rsidRPr="00DB625E">
        <w:rPr>
          <w:rFonts w:ascii="Times New Roman" w:hAnsi="Times New Roman" w:cs="Times New Roman"/>
          <w:sz w:val="24"/>
          <w:szCs w:val="24"/>
        </w:rPr>
        <w:t>FSC-A vs. SSC-A: on single-positive beads</w:t>
      </w:r>
    </w:p>
    <w:p w:rsidR="00B34B3A" w:rsidRPr="00DB625E" w:rsidRDefault="00B34B3A" w:rsidP="00B34B3A">
      <w:pPr>
        <w:pStyle w:val="ListParagraph"/>
        <w:numPr>
          <w:ilvl w:val="0"/>
          <w:numId w:val="24"/>
        </w:numPr>
        <w:spacing w:line="480" w:lineRule="auto"/>
        <w:rPr>
          <w:rFonts w:ascii="Times New Roman" w:hAnsi="Times New Roman" w:cs="Times New Roman"/>
          <w:sz w:val="24"/>
          <w:szCs w:val="24"/>
        </w:rPr>
      </w:pPr>
      <w:r w:rsidRPr="00DB625E">
        <w:rPr>
          <w:rFonts w:ascii="Times New Roman" w:hAnsi="Times New Roman" w:cs="Times New Roman"/>
          <w:sz w:val="24"/>
          <w:szCs w:val="24"/>
        </w:rPr>
        <w:t xml:space="preserve">biexponential histograms of all detection channels </w:t>
      </w:r>
    </w:p>
    <w:p w:rsidR="00B34B3A" w:rsidRPr="00DB625E" w:rsidRDefault="00B34B3A" w:rsidP="00B34B3A">
      <w:pPr>
        <w:pStyle w:val="ListParagraph"/>
        <w:numPr>
          <w:ilvl w:val="0"/>
          <w:numId w:val="22"/>
        </w:num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An </w:t>
      </w:r>
      <w:r w:rsidRPr="00DB625E">
        <w:rPr>
          <w:rFonts w:ascii="Times New Roman" w:hAnsi="Times New Roman" w:cs="Times New Roman"/>
          <w:sz w:val="24"/>
          <w:szCs w:val="24"/>
        </w:rPr>
        <w:t>interval gate was placed around the peak in each detection channel to define a</w:t>
      </w:r>
      <w:r>
        <w:rPr>
          <w:rFonts w:ascii="Times New Roman" w:hAnsi="Times New Roman" w:cs="Times New Roman"/>
          <w:sz w:val="24"/>
          <w:szCs w:val="24"/>
        </w:rPr>
        <w:t xml:space="preserve"> narrow</w:t>
      </w:r>
      <w:r w:rsidRPr="00DB625E">
        <w:rPr>
          <w:rFonts w:ascii="Times New Roman" w:hAnsi="Times New Roman" w:cs="Times New Roman"/>
          <w:sz w:val="24"/>
          <w:szCs w:val="24"/>
        </w:rPr>
        <w:t xml:space="preserve"> tolerability range </w:t>
      </w:r>
      <w:r>
        <w:rPr>
          <w:rFonts w:ascii="Times New Roman" w:hAnsi="Times New Roman" w:cs="Times New Roman"/>
          <w:sz w:val="24"/>
          <w:szCs w:val="24"/>
        </w:rPr>
        <w:t>to calibrate to between runs</w:t>
      </w:r>
      <w:r w:rsidRPr="00DB625E">
        <w:rPr>
          <w:rFonts w:ascii="Times New Roman" w:hAnsi="Times New Roman" w:cs="Times New Roman"/>
          <w:sz w:val="24"/>
          <w:szCs w:val="24"/>
        </w:rPr>
        <w:t xml:space="preserve">. </w:t>
      </w:r>
    </w:p>
    <w:p w:rsidR="00B34B3A" w:rsidRPr="00A30214" w:rsidRDefault="00B34B3A" w:rsidP="00B34B3A">
      <w:pPr>
        <w:spacing w:line="480" w:lineRule="auto"/>
        <w:contextualSpacing/>
        <w:rPr>
          <w:b/>
          <w:bCs/>
        </w:rPr>
      </w:pPr>
    </w:p>
    <w:p w:rsidR="00B34B3A" w:rsidRPr="00DB625E" w:rsidRDefault="00B34B3A" w:rsidP="00B34B3A">
      <w:pPr>
        <w:spacing w:line="480" w:lineRule="auto"/>
        <w:contextualSpacing/>
      </w:pPr>
      <w:r w:rsidRPr="00A30214">
        <w:rPr>
          <w:b/>
          <w:bCs/>
        </w:rPr>
        <w:t>Data Acquisition</w:t>
      </w:r>
      <w:r>
        <w:rPr>
          <w:b/>
          <w:bCs/>
        </w:rPr>
        <w:t>.</w:t>
      </w:r>
      <w:r>
        <w:t xml:space="preserve"> </w:t>
      </w:r>
      <w:r w:rsidRPr="00DB625E">
        <w:t>Cytometer setup &amp; tracking was performed using FACSDiva CS&amp;T research beads to optimize and standardize instrument performance</w:t>
      </w:r>
      <w:r w:rsidRPr="005B27D1">
        <w:t xml:space="preserve"> </w:t>
      </w:r>
      <w:r w:rsidRPr="00DB625E">
        <w:t>prior to each data acquisition. The 96-well V-bottom plate containing the 80 immunolabeled experimental tissue samples and 16 optical controls was then loaded into a BD HTS affixed to a BD LSR II SORP flow cytometer. The gating strategy used at each acquisition was as follows:</w:t>
      </w:r>
    </w:p>
    <w:p w:rsidR="00B34B3A" w:rsidRPr="00DB625E" w:rsidRDefault="00B34B3A" w:rsidP="00B34B3A">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FSC-A vs. SSC-A: on all events (</w:t>
      </w:r>
      <w:r w:rsidRPr="00DB625E">
        <w:rPr>
          <w:rFonts w:ascii="Times New Roman" w:hAnsi="Times New Roman" w:cs="Times New Roman"/>
          <w:sz w:val="24"/>
          <w:szCs w:val="24"/>
        </w:rPr>
        <w:t>minus RBCs/debris</w:t>
      </w:r>
      <w:r>
        <w:rPr>
          <w:rFonts w:ascii="Times New Roman" w:hAnsi="Times New Roman" w:cs="Times New Roman"/>
          <w:sz w:val="24"/>
          <w:szCs w:val="24"/>
        </w:rPr>
        <w:t>)</w:t>
      </w:r>
    </w:p>
    <w:p w:rsidR="00B34B3A" w:rsidRPr="00DB625E" w:rsidRDefault="00B34B3A" w:rsidP="00B34B3A">
      <w:pPr>
        <w:pStyle w:val="ListParagraph"/>
        <w:numPr>
          <w:ilvl w:val="0"/>
          <w:numId w:val="25"/>
        </w:numPr>
        <w:spacing w:line="480" w:lineRule="auto"/>
        <w:rPr>
          <w:rFonts w:ascii="Times New Roman" w:hAnsi="Times New Roman" w:cs="Times New Roman"/>
          <w:sz w:val="24"/>
          <w:szCs w:val="24"/>
        </w:rPr>
      </w:pPr>
      <w:r w:rsidRPr="00DB625E">
        <w:rPr>
          <w:rFonts w:ascii="Times New Roman" w:hAnsi="Times New Roman" w:cs="Times New Roman"/>
          <w:sz w:val="24"/>
          <w:szCs w:val="24"/>
        </w:rPr>
        <w:t>SSC-H vs. SSC-W: doublet discriminator</w:t>
      </w:r>
    </w:p>
    <w:p w:rsidR="00B34B3A" w:rsidRPr="00DB625E" w:rsidRDefault="00B34B3A" w:rsidP="00B34B3A">
      <w:pPr>
        <w:pStyle w:val="ListParagraph"/>
        <w:numPr>
          <w:ilvl w:val="0"/>
          <w:numId w:val="25"/>
        </w:numPr>
        <w:spacing w:line="480" w:lineRule="auto"/>
        <w:rPr>
          <w:rFonts w:ascii="Times New Roman" w:hAnsi="Times New Roman" w:cs="Times New Roman"/>
          <w:sz w:val="24"/>
          <w:szCs w:val="24"/>
        </w:rPr>
      </w:pPr>
      <w:r w:rsidRPr="00DB625E">
        <w:rPr>
          <w:rFonts w:ascii="Times New Roman" w:hAnsi="Times New Roman" w:cs="Times New Roman"/>
          <w:sz w:val="24"/>
          <w:szCs w:val="24"/>
        </w:rPr>
        <w:t>FSC-H vs. FSC-W: doublet discriminator</w:t>
      </w:r>
    </w:p>
    <w:p w:rsidR="00B34B3A" w:rsidRPr="00DB625E" w:rsidRDefault="00B34B3A" w:rsidP="00B34B3A">
      <w:pPr>
        <w:pStyle w:val="ListParagraph"/>
        <w:numPr>
          <w:ilvl w:val="0"/>
          <w:numId w:val="25"/>
        </w:numPr>
        <w:spacing w:line="480" w:lineRule="auto"/>
        <w:rPr>
          <w:rFonts w:ascii="Times New Roman" w:hAnsi="Times New Roman" w:cs="Times New Roman"/>
          <w:sz w:val="24"/>
          <w:szCs w:val="24"/>
        </w:rPr>
      </w:pPr>
      <w:r w:rsidRPr="00DB625E">
        <w:rPr>
          <w:rFonts w:ascii="Times New Roman" w:hAnsi="Times New Roman" w:cs="Times New Roman"/>
          <w:sz w:val="24"/>
          <w:szCs w:val="24"/>
        </w:rPr>
        <w:t>BUV395-A (FVD) (detected with 355 nm laser off of a 450/50 band pass filter) vs. FSC-A: on FVD negative cells (i.e. viable cells)</w:t>
      </w:r>
    </w:p>
    <w:p w:rsidR="00B34B3A" w:rsidRPr="00DB625E" w:rsidRDefault="00B34B3A" w:rsidP="00B34B3A">
      <w:pPr>
        <w:pStyle w:val="ListParagraph"/>
        <w:numPr>
          <w:ilvl w:val="0"/>
          <w:numId w:val="25"/>
        </w:numPr>
        <w:spacing w:line="480" w:lineRule="auto"/>
        <w:rPr>
          <w:rFonts w:ascii="Times New Roman" w:hAnsi="Times New Roman" w:cs="Times New Roman"/>
          <w:sz w:val="24"/>
          <w:szCs w:val="24"/>
        </w:rPr>
      </w:pPr>
      <w:r w:rsidRPr="00DB625E">
        <w:rPr>
          <w:rFonts w:ascii="Times New Roman" w:hAnsi="Times New Roman" w:cs="Times New Roman"/>
          <w:sz w:val="24"/>
          <w:szCs w:val="24"/>
        </w:rPr>
        <w:t>biexponential histograms of all detection channels</w:t>
      </w:r>
    </w:p>
    <w:p w:rsidR="00B34B3A" w:rsidRPr="00DB625E" w:rsidRDefault="00B34B3A" w:rsidP="00B34B3A">
      <w:pPr>
        <w:pStyle w:val="ListParagraph"/>
        <w:numPr>
          <w:ilvl w:val="1"/>
          <w:numId w:val="6"/>
        </w:numPr>
        <w:spacing w:line="480" w:lineRule="auto"/>
        <w:rPr>
          <w:rFonts w:ascii="Times New Roman" w:hAnsi="Times New Roman" w:cs="Times New Roman"/>
          <w:sz w:val="24"/>
          <w:szCs w:val="24"/>
        </w:rPr>
      </w:pPr>
      <w:r w:rsidRPr="00DB625E">
        <w:rPr>
          <w:rFonts w:ascii="Times New Roman" w:hAnsi="Times New Roman" w:cs="Times New Roman"/>
          <w:sz w:val="24"/>
          <w:szCs w:val="24"/>
        </w:rPr>
        <w:t>laser line, band pass filter, long pass filter, antibody detected:</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lastRenderedPageBreak/>
        <w:t>405 nm, 525/50, 505, V500-CD45</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488 nm, 710/50, 690, PerCP/Cy5.5-CD45R/B220</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355 nm, 740/35, 690, BUV737-CD11b</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594 nm, 660/20, 640, Alexa Fluor 647-CD11c</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488 nm, 525/50, 505, Alexa Fluor 488-CD3ε</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 xml:space="preserve">405 nm, 670/35, 635, BV605-CD4 </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488 nm, 780/60, 755, PE/Cy7-CD49b</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488 nm, 610/20, 600, PE-CF594-CD8α</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488 nm, 575/26, 505, PE-F4/80</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594 nm, 780/60, 735, APC/Cy7-Ly6C</w:t>
      </w:r>
    </w:p>
    <w:p w:rsidR="00B34B3A" w:rsidRPr="00DB625E" w:rsidRDefault="00B34B3A" w:rsidP="00B34B3A">
      <w:pPr>
        <w:pStyle w:val="ListParagraph"/>
        <w:numPr>
          <w:ilvl w:val="0"/>
          <w:numId w:val="8"/>
        </w:numPr>
        <w:spacing w:line="480" w:lineRule="auto"/>
        <w:rPr>
          <w:rFonts w:ascii="Times New Roman" w:hAnsi="Times New Roman" w:cs="Times New Roman"/>
          <w:sz w:val="24"/>
          <w:szCs w:val="24"/>
        </w:rPr>
      </w:pPr>
      <w:r w:rsidRPr="00DB625E">
        <w:rPr>
          <w:rFonts w:ascii="Times New Roman" w:hAnsi="Times New Roman" w:cs="Times New Roman"/>
          <w:sz w:val="24"/>
          <w:szCs w:val="24"/>
        </w:rPr>
        <w:t>405 nm, 780/60, 750, BV711-Ly6G</w:t>
      </w:r>
    </w:p>
    <w:p w:rsidR="00B34B3A" w:rsidRPr="00DB625E" w:rsidRDefault="00B34B3A" w:rsidP="00B34B3A">
      <w:pPr>
        <w:spacing w:line="480" w:lineRule="auto"/>
        <w:contextualSpacing/>
      </w:pPr>
      <w:r w:rsidRPr="00DB625E">
        <w:t>Samples were run in the following order</w:t>
      </w:r>
      <w:r>
        <w:t>:</w:t>
      </w:r>
    </w:p>
    <w:p w:rsidR="00B34B3A" w:rsidRPr="00DB625E" w:rsidRDefault="00B34B3A" w:rsidP="00B34B3A">
      <w:pPr>
        <w:pStyle w:val="ListParagraph"/>
        <w:numPr>
          <w:ilvl w:val="0"/>
          <w:numId w:val="9"/>
        </w:numPr>
        <w:spacing w:line="480" w:lineRule="auto"/>
        <w:rPr>
          <w:rFonts w:ascii="Times New Roman" w:hAnsi="Times New Roman" w:cs="Times New Roman"/>
          <w:sz w:val="24"/>
          <w:szCs w:val="24"/>
        </w:rPr>
      </w:pPr>
      <w:r w:rsidRPr="00DB625E">
        <w:rPr>
          <w:rFonts w:ascii="Times New Roman" w:hAnsi="Times New Roman" w:cs="Times New Roman"/>
          <w:sz w:val="24"/>
          <w:szCs w:val="24"/>
        </w:rPr>
        <w:t>SP beads (</w:t>
      </w:r>
      <w:r>
        <w:rPr>
          <w:rFonts w:ascii="Times New Roman" w:hAnsi="Times New Roman" w:cs="Times New Roman"/>
          <w:sz w:val="24"/>
          <w:szCs w:val="24"/>
        </w:rPr>
        <w:t>PRE</w:t>
      </w:r>
      <w:r w:rsidRPr="00DB625E">
        <w:rPr>
          <w:rFonts w:ascii="Times New Roman" w:hAnsi="Times New Roman" w:cs="Times New Roman"/>
          <w:sz w:val="24"/>
          <w:szCs w:val="24"/>
        </w:rPr>
        <w:t>): to check that PMT voltages were within previously defined tolerability ranges prior to data acquisition.</w:t>
      </w:r>
    </w:p>
    <w:p w:rsidR="00B34B3A" w:rsidRPr="00DB625E" w:rsidRDefault="00B34B3A" w:rsidP="00B34B3A">
      <w:pPr>
        <w:pStyle w:val="ListParagraph"/>
        <w:numPr>
          <w:ilvl w:val="0"/>
          <w:numId w:val="9"/>
        </w:numPr>
        <w:spacing w:line="480" w:lineRule="auto"/>
        <w:rPr>
          <w:rFonts w:ascii="Times New Roman" w:hAnsi="Times New Roman" w:cs="Times New Roman"/>
          <w:sz w:val="24"/>
          <w:szCs w:val="24"/>
        </w:rPr>
      </w:pPr>
      <w:r w:rsidRPr="00DB625E">
        <w:rPr>
          <w:rFonts w:ascii="Times New Roman" w:hAnsi="Times New Roman" w:cs="Times New Roman"/>
          <w:sz w:val="24"/>
          <w:szCs w:val="24"/>
        </w:rPr>
        <w:t>unstained control splenocytes (UNS)</w:t>
      </w:r>
    </w:p>
    <w:p w:rsidR="00B34B3A" w:rsidRPr="00DB625E" w:rsidRDefault="00B34B3A" w:rsidP="00B34B3A">
      <w:pPr>
        <w:pStyle w:val="ListParagraph"/>
        <w:numPr>
          <w:ilvl w:val="0"/>
          <w:numId w:val="9"/>
        </w:numPr>
        <w:spacing w:line="480" w:lineRule="auto"/>
        <w:rPr>
          <w:rFonts w:ascii="Times New Roman" w:hAnsi="Times New Roman" w:cs="Times New Roman"/>
          <w:sz w:val="24"/>
          <w:szCs w:val="24"/>
        </w:rPr>
      </w:pPr>
      <w:r w:rsidRPr="00DB625E">
        <w:rPr>
          <w:rFonts w:ascii="Times New Roman" w:hAnsi="Times New Roman" w:cs="Times New Roman"/>
          <w:sz w:val="24"/>
          <w:szCs w:val="24"/>
        </w:rPr>
        <w:t>unstained control splenocytes labeled with FVD (FVD)</w:t>
      </w:r>
    </w:p>
    <w:p w:rsidR="00B34B3A" w:rsidRPr="00DB625E" w:rsidRDefault="00B34B3A" w:rsidP="00B34B3A">
      <w:pPr>
        <w:pStyle w:val="ListParagraph"/>
        <w:numPr>
          <w:ilvl w:val="0"/>
          <w:numId w:val="9"/>
        </w:numPr>
        <w:spacing w:line="480" w:lineRule="auto"/>
        <w:rPr>
          <w:rFonts w:ascii="Times New Roman" w:hAnsi="Times New Roman" w:cs="Times New Roman"/>
          <w:sz w:val="24"/>
          <w:szCs w:val="24"/>
        </w:rPr>
      </w:pPr>
      <w:r w:rsidRPr="00DB625E">
        <w:rPr>
          <w:rFonts w:ascii="Times New Roman" w:hAnsi="Times New Roman" w:cs="Times New Roman"/>
          <w:sz w:val="24"/>
          <w:szCs w:val="24"/>
        </w:rPr>
        <w:t>control splenocytes labeled with FVD and CD45 isotype control antibodies (ISO)</w:t>
      </w:r>
    </w:p>
    <w:p w:rsidR="00B34B3A" w:rsidRPr="00DB625E" w:rsidRDefault="00B34B3A" w:rsidP="00B34B3A">
      <w:pPr>
        <w:pStyle w:val="ListParagraph"/>
        <w:numPr>
          <w:ilvl w:val="0"/>
          <w:numId w:val="9"/>
        </w:numPr>
        <w:spacing w:line="480" w:lineRule="auto"/>
        <w:rPr>
          <w:rFonts w:ascii="Times New Roman" w:hAnsi="Times New Roman" w:cs="Times New Roman"/>
          <w:sz w:val="24"/>
          <w:szCs w:val="24"/>
        </w:rPr>
      </w:pPr>
      <w:r w:rsidRPr="00DB625E">
        <w:rPr>
          <w:rFonts w:ascii="Times New Roman" w:hAnsi="Times New Roman" w:cs="Times New Roman"/>
          <w:sz w:val="24"/>
          <w:szCs w:val="24"/>
        </w:rPr>
        <w:t xml:space="preserve">single-color compensation controls stained with FVD (control splenocytes were used for each antibody except CD49b, </w:t>
      </w:r>
      <w:r>
        <w:rPr>
          <w:rFonts w:ascii="Times New Roman" w:hAnsi="Times New Roman" w:cs="Times New Roman"/>
          <w:sz w:val="24"/>
          <w:szCs w:val="24"/>
        </w:rPr>
        <w:t xml:space="preserve">in which case </w:t>
      </w:r>
      <w:r w:rsidRPr="00DB625E">
        <w:rPr>
          <w:rFonts w:ascii="Times New Roman" w:hAnsi="Times New Roman" w:cs="Times New Roman"/>
          <w:sz w:val="24"/>
          <w:szCs w:val="24"/>
        </w:rPr>
        <w:t xml:space="preserve">WBCs were used due to the increased </w:t>
      </w:r>
      <w:r>
        <w:rPr>
          <w:rFonts w:ascii="Times New Roman" w:hAnsi="Times New Roman" w:cs="Times New Roman"/>
          <w:sz w:val="24"/>
          <w:szCs w:val="24"/>
        </w:rPr>
        <w:t>abundance</w:t>
      </w:r>
      <w:r w:rsidRPr="00DB625E">
        <w:rPr>
          <w:rFonts w:ascii="Times New Roman" w:hAnsi="Times New Roman" w:cs="Times New Roman"/>
          <w:sz w:val="24"/>
          <w:szCs w:val="24"/>
        </w:rPr>
        <w:t xml:space="preserve"> of CD49b</w:t>
      </w:r>
      <w:r w:rsidRPr="00DB625E">
        <w:rPr>
          <w:rFonts w:ascii="Times New Roman" w:hAnsi="Times New Roman" w:cs="Times New Roman"/>
          <w:sz w:val="24"/>
          <w:szCs w:val="24"/>
          <w:vertAlign w:val="superscript"/>
        </w:rPr>
        <w:t>+</w:t>
      </w:r>
      <w:r w:rsidRPr="00DB625E">
        <w:rPr>
          <w:rFonts w:ascii="Times New Roman" w:hAnsi="Times New Roman" w:cs="Times New Roman"/>
          <w:sz w:val="24"/>
          <w:szCs w:val="24"/>
        </w:rPr>
        <w:t xml:space="preserve"> cells in blood)</w:t>
      </w:r>
    </w:p>
    <w:p w:rsidR="00B34B3A" w:rsidRPr="00DB625E" w:rsidRDefault="00B34B3A" w:rsidP="00B34B3A">
      <w:pPr>
        <w:pStyle w:val="ListParagraph"/>
        <w:numPr>
          <w:ilvl w:val="0"/>
          <w:numId w:val="9"/>
        </w:numPr>
        <w:spacing w:line="480" w:lineRule="auto"/>
        <w:rPr>
          <w:rFonts w:ascii="Times New Roman" w:hAnsi="Times New Roman" w:cs="Times New Roman"/>
          <w:sz w:val="24"/>
          <w:szCs w:val="24"/>
        </w:rPr>
      </w:pPr>
      <w:r w:rsidRPr="00DB625E">
        <w:rPr>
          <w:rFonts w:ascii="Times New Roman" w:hAnsi="Times New Roman" w:cs="Times New Roman"/>
          <w:sz w:val="24"/>
          <w:szCs w:val="24"/>
        </w:rPr>
        <w:t>experimental samples (16 mice x 5 tissue samples = 80 total)</w:t>
      </w:r>
    </w:p>
    <w:p w:rsidR="00B34B3A" w:rsidRPr="00DB625E" w:rsidRDefault="00B34B3A" w:rsidP="00B34B3A">
      <w:pPr>
        <w:pStyle w:val="ListParagraph"/>
        <w:numPr>
          <w:ilvl w:val="0"/>
          <w:numId w:val="9"/>
        </w:numPr>
        <w:spacing w:line="480" w:lineRule="auto"/>
        <w:rPr>
          <w:rFonts w:ascii="Times New Roman" w:hAnsi="Times New Roman" w:cs="Times New Roman"/>
          <w:sz w:val="24"/>
          <w:szCs w:val="24"/>
        </w:rPr>
      </w:pPr>
      <w:r w:rsidRPr="00DB625E">
        <w:rPr>
          <w:rFonts w:ascii="Times New Roman" w:hAnsi="Times New Roman" w:cs="Times New Roman"/>
          <w:sz w:val="24"/>
          <w:szCs w:val="24"/>
        </w:rPr>
        <w:t>SP beads (</w:t>
      </w:r>
      <w:r>
        <w:rPr>
          <w:rFonts w:ascii="Times New Roman" w:hAnsi="Times New Roman" w:cs="Times New Roman"/>
          <w:sz w:val="24"/>
          <w:szCs w:val="24"/>
        </w:rPr>
        <w:t>POST</w:t>
      </w:r>
      <w:r w:rsidRPr="00DB625E">
        <w:rPr>
          <w:rFonts w:ascii="Times New Roman" w:hAnsi="Times New Roman" w:cs="Times New Roman"/>
          <w:sz w:val="24"/>
          <w:szCs w:val="24"/>
        </w:rPr>
        <w:t>): to check that PMT voltages remained stable over the acquisition period (fluidic anomalies can impact laser delay stability)</w:t>
      </w:r>
    </w:p>
    <w:p w:rsidR="00B34B3A" w:rsidRPr="00DB625E" w:rsidRDefault="00B34B3A" w:rsidP="00B34B3A">
      <w:pPr>
        <w:spacing w:line="480" w:lineRule="auto"/>
        <w:contextualSpacing/>
      </w:pPr>
      <w:r w:rsidRPr="00DB625E">
        <w:lastRenderedPageBreak/>
        <w:t xml:space="preserve">Raw data were exported </w:t>
      </w:r>
      <w:r>
        <w:t xml:space="preserve">as </w:t>
      </w:r>
      <w:r w:rsidRPr="00DB625E">
        <w:t xml:space="preserve">FCS3.0 files upon completion of </w:t>
      </w:r>
      <w:r>
        <w:t xml:space="preserve">each </w:t>
      </w:r>
      <w:r w:rsidRPr="00DB625E">
        <w:t>data acquisition</w:t>
      </w:r>
      <w:r>
        <w:t xml:space="preserve"> session</w:t>
      </w:r>
      <w:r w:rsidRPr="00DB625E">
        <w:t>.</w:t>
      </w:r>
    </w:p>
    <w:p w:rsidR="00B34B3A" w:rsidRPr="00A30214" w:rsidRDefault="00B34B3A" w:rsidP="00B34B3A">
      <w:pPr>
        <w:spacing w:line="480" w:lineRule="auto"/>
        <w:contextualSpacing/>
        <w:rPr>
          <w:b/>
          <w:bCs/>
        </w:rPr>
      </w:pPr>
    </w:p>
    <w:p w:rsidR="00B34B3A" w:rsidRPr="00DB625E" w:rsidRDefault="00B34B3A" w:rsidP="00B34B3A">
      <w:pPr>
        <w:spacing w:line="480" w:lineRule="auto"/>
        <w:contextualSpacing/>
      </w:pPr>
      <w:r w:rsidRPr="00A30214">
        <w:rPr>
          <w:b/>
          <w:bCs/>
        </w:rPr>
        <w:t xml:space="preserve">Spectral Deconvolution and Data </w:t>
      </w:r>
      <w:r>
        <w:rPr>
          <w:b/>
          <w:bCs/>
        </w:rPr>
        <w:t>Pre-processing.</w:t>
      </w:r>
      <w:r>
        <w:t xml:space="preserve"> </w:t>
      </w:r>
      <w:r w:rsidRPr="00DB625E">
        <w:t xml:space="preserve">FlowJo software was used to spectrally deconvolve raw flow cytometry data. Data from </w:t>
      </w:r>
      <w:r>
        <w:t xml:space="preserve">15 of the 16 optical control wells (UNS was excluded) </w:t>
      </w:r>
      <w:r w:rsidRPr="00DB625E">
        <w:t xml:space="preserve">were imported into the </w:t>
      </w:r>
      <w:r w:rsidRPr="00E066D3">
        <w:rPr>
          <w:i/>
        </w:rPr>
        <w:t>compensation group</w:t>
      </w:r>
      <w:r w:rsidRPr="00DB625E">
        <w:t xml:space="preserve"> of a new FlowJo </w:t>
      </w:r>
      <w:r w:rsidRPr="00E066D3">
        <w:rPr>
          <w:i/>
        </w:rPr>
        <w:t>workspace</w:t>
      </w:r>
      <w:r w:rsidRPr="00DB625E">
        <w:t>. CD45 signal intensity distributions were invariably unimodal making it difficult to objectively define a compensation gate for the CD45 single-positive control</w:t>
      </w:r>
      <w:r>
        <w:t xml:space="preserve"> alone</w:t>
      </w:r>
      <w:r w:rsidRPr="00DB625E">
        <w:t xml:space="preserve">. </w:t>
      </w:r>
      <w:r>
        <w:t xml:space="preserve">Thus, </w:t>
      </w:r>
      <w:r w:rsidRPr="00DB625E">
        <w:t xml:space="preserve">the data corresponding to well E11 (ISO) </w:t>
      </w:r>
      <w:r>
        <w:t xml:space="preserve">was </w:t>
      </w:r>
      <w:r w:rsidRPr="00DB625E">
        <w:t>merg</w:t>
      </w:r>
      <w:r>
        <w:t>ed</w:t>
      </w:r>
      <w:r w:rsidRPr="00DB625E">
        <w:t xml:space="preserve"> with that of F9 (CD45 single-color compensation control) using FlowJo’s </w:t>
      </w:r>
      <w:r w:rsidRPr="00E066D3">
        <w:rPr>
          <w:i/>
        </w:rPr>
        <w:t>concatenate</w:t>
      </w:r>
      <w:r w:rsidRPr="00DB625E">
        <w:t xml:space="preserve"> feature. The merged data </w:t>
      </w:r>
      <w:r>
        <w:t>were</w:t>
      </w:r>
      <w:r w:rsidRPr="00DB625E">
        <w:t xml:space="preserve"> saved as a new FCS3.0 file and imported into the </w:t>
      </w:r>
      <w:r w:rsidRPr="007E713D">
        <w:rPr>
          <w:i/>
        </w:rPr>
        <w:t>compensation group</w:t>
      </w:r>
      <w:r w:rsidRPr="00DB625E">
        <w:t xml:space="preserve"> of the current </w:t>
      </w:r>
      <w:r w:rsidRPr="007E713D">
        <w:rPr>
          <w:i/>
        </w:rPr>
        <w:t>workspace</w:t>
      </w:r>
      <w:r w:rsidRPr="00DB625E">
        <w:t xml:space="preserve">. The original CD45 single-positive compensation control and ISO samples were then deleted from the </w:t>
      </w:r>
      <w:r w:rsidRPr="007E713D">
        <w:rPr>
          <w:i/>
        </w:rPr>
        <w:t>workspace</w:t>
      </w:r>
      <w:r w:rsidRPr="00DB625E">
        <w:t xml:space="preserve">. The merging procedure resulted in a bimodal distribution and the ability to objectively define a CD45 compensation gate between </w:t>
      </w:r>
      <w:r>
        <w:t>its</w:t>
      </w:r>
      <w:r w:rsidRPr="00DB625E">
        <w:t xml:space="preserve"> two peaks. The merged CD45 file plus the other 10 single-color compensation controls and the FVD well (E10)—which served as the compensation control for the for the FVD</w:t>
      </w:r>
      <w:r>
        <w:t xml:space="preserve"> itself</w:t>
      </w:r>
      <w:r w:rsidRPr="00DB625E">
        <w:t xml:space="preserve">—were gated for viable singlets according to the following strategy: </w:t>
      </w:r>
    </w:p>
    <w:p w:rsidR="00B34B3A" w:rsidRPr="00DB625E" w:rsidRDefault="00B34B3A" w:rsidP="00B34B3A">
      <w:pPr>
        <w:pStyle w:val="ListParagraph"/>
        <w:numPr>
          <w:ilvl w:val="0"/>
          <w:numId w:val="10"/>
        </w:numPr>
        <w:spacing w:line="480" w:lineRule="auto"/>
        <w:rPr>
          <w:rFonts w:ascii="Times New Roman" w:hAnsi="Times New Roman" w:cs="Times New Roman"/>
          <w:sz w:val="24"/>
          <w:szCs w:val="24"/>
        </w:rPr>
      </w:pPr>
      <w:r w:rsidRPr="00DB625E">
        <w:rPr>
          <w:rFonts w:ascii="Times New Roman" w:hAnsi="Times New Roman" w:cs="Times New Roman"/>
          <w:sz w:val="24"/>
          <w:szCs w:val="24"/>
        </w:rPr>
        <w:t>FSC-A vs. SSC-A: on all events</w:t>
      </w:r>
      <w:r>
        <w:rPr>
          <w:rFonts w:ascii="Times New Roman" w:hAnsi="Times New Roman" w:cs="Times New Roman"/>
          <w:sz w:val="24"/>
          <w:szCs w:val="24"/>
        </w:rPr>
        <w:t xml:space="preserve"> (</w:t>
      </w:r>
      <w:r w:rsidRPr="00DB625E">
        <w:rPr>
          <w:rFonts w:ascii="Times New Roman" w:hAnsi="Times New Roman" w:cs="Times New Roman"/>
          <w:sz w:val="24"/>
          <w:szCs w:val="24"/>
        </w:rPr>
        <w:t>minus RBCs/debris</w:t>
      </w:r>
      <w:r>
        <w:rPr>
          <w:rFonts w:ascii="Times New Roman" w:hAnsi="Times New Roman" w:cs="Times New Roman"/>
          <w:sz w:val="24"/>
          <w:szCs w:val="24"/>
        </w:rPr>
        <w:t>)</w:t>
      </w:r>
    </w:p>
    <w:p w:rsidR="00B34B3A" w:rsidRPr="00DB625E" w:rsidRDefault="00B34B3A" w:rsidP="00B34B3A">
      <w:pPr>
        <w:pStyle w:val="ListParagraph"/>
        <w:numPr>
          <w:ilvl w:val="0"/>
          <w:numId w:val="10"/>
        </w:numPr>
        <w:spacing w:line="480" w:lineRule="auto"/>
        <w:rPr>
          <w:rFonts w:ascii="Times New Roman" w:hAnsi="Times New Roman" w:cs="Times New Roman"/>
          <w:sz w:val="24"/>
          <w:szCs w:val="24"/>
        </w:rPr>
      </w:pPr>
      <w:r w:rsidRPr="00DB625E">
        <w:rPr>
          <w:rFonts w:ascii="Times New Roman" w:hAnsi="Times New Roman" w:cs="Times New Roman"/>
          <w:sz w:val="24"/>
          <w:szCs w:val="24"/>
        </w:rPr>
        <w:t>SSC-H vs. SSC-W: doublet discriminator</w:t>
      </w:r>
    </w:p>
    <w:p w:rsidR="00B34B3A" w:rsidRPr="00DB625E" w:rsidRDefault="00B34B3A" w:rsidP="00B34B3A">
      <w:pPr>
        <w:pStyle w:val="ListParagraph"/>
        <w:numPr>
          <w:ilvl w:val="0"/>
          <w:numId w:val="10"/>
        </w:numPr>
        <w:spacing w:line="480" w:lineRule="auto"/>
        <w:rPr>
          <w:rFonts w:ascii="Times New Roman" w:hAnsi="Times New Roman" w:cs="Times New Roman"/>
          <w:sz w:val="24"/>
          <w:szCs w:val="24"/>
        </w:rPr>
      </w:pPr>
      <w:r w:rsidRPr="00DB625E">
        <w:rPr>
          <w:rFonts w:ascii="Times New Roman" w:hAnsi="Times New Roman" w:cs="Times New Roman"/>
          <w:sz w:val="24"/>
          <w:szCs w:val="24"/>
        </w:rPr>
        <w:t>FSC-H vs. FSC-W: doublet discriminator</w:t>
      </w:r>
    </w:p>
    <w:p w:rsidR="00B34B3A" w:rsidRPr="00DB625E" w:rsidRDefault="00B34B3A" w:rsidP="00B34B3A">
      <w:pPr>
        <w:pStyle w:val="ListParagraph"/>
        <w:numPr>
          <w:ilvl w:val="0"/>
          <w:numId w:val="10"/>
        </w:numPr>
        <w:spacing w:line="480" w:lineRule="auto"/>
        <w:rPr>
          <w:rFonts w:ascii="Times New Roman" w:hAnsi="Times New Roman" w:cs="Times New Roman"/>
          <w:sz w:val="24"/>
          <w:szCs w:val="24"/>
        </w:rPr>
      </w:pPr>
      <w:r w:rsidRPr="00DB625E">
        <w:rPr>
          <w:rFonts w:ascii="Times New Roman" w:hAnsi="Times New Roman" w:cs="Times New Roman"/>
          <w:sz w:val="24"/>
          <w:szCs w:val="24"/>
        </w:rPr>
        <w:t>BUV395-A (FVD) vs. FSC-A (viewed as a contour plot at the 2% level): on FVD negative cells (i.e. viable cells)</w:t>
      </w:r>
    </w:p>
    <w:p w:rsidR="00B34B3A" w:rsidRPr="00DB625E" w:rsidRDefault="00B34B3A" w:rsidP="00B34B3A">
      <w:pPr>
        <w:pStyle w:val="ListParagraph"/>
        <w:numPr>
          <w:ilvl w:val="0"/>
          <w:numId w:val="10"/>
        </w:numPr>
        <w:spacing w:line="480" w:lineRule="auto"/>
        <w:rPr>
          <w:rFonts w:ascii="Times New Roman" w:hAnsi="Times New Roman" w:cs="Times New Roman"/>
          <w:sz w:val="24"/>
          <w:szCs w:val="24"/>
        </w:rPr>
      </w:pPr>
      <w:r w:rsidRPr="00DB625E">
        <w:rPr>
          <w:rFonts w:ascii="Times New Roman" w:hAnsi="Times New Roman" w:cs="Times New Roman"/>
          <w:sz w:val="24"/>
          <w:szCs w:val="24"/>
        </w:rPr>
        <w:t xml:space="preserve">backgate to FSC-A vs. SSC-A: on total viable singlets (or a subset for scarce populations) </w:t>
      </w:r>
    </w:p>
    <w:p w:rsidR="00B34B3A" w:rsidRPr="00DB625E" w:rsidRDefault="00B34B3A" w:rsidP="00B34B3A">
      <w:pPr>
        <w:spacing w:line="480" w:lineRule="auto"/>
        <w:contextualSpacing/>
      </w:pPr>
      <w:r w:rsidRPr="00DB625E">
        <w:t xml:space="preserve">Once gated, viable singlets of each compensation control sample were visualized as histograms in their respective detection channel. Signal intensity values of each histogram were </w:t>
      </w:r>
      <w:r>
        <w:t>bisected</w:t>
      </w:r>
      <w:r w:rsidRPr="00DB625E">
        <w:t xml:space="preserve"> at </w:t>
      </w:r>
      <w:r w:rsidRPr="00DB625E">
        <w:lastRenderedPageBreak/>
        <w:t xml:space="preserve">the interface of the penultimate and ultimate modes of each signal intensity distribution using FlowJo’s </w:t>
      </w:r>
      <w:r w:rsidRPr="002B0F63">
        <w:rPr>
          <w:i/>
        </w:rPr>
        <w:t>bisector tool</w:t>
      </w:r>
      <w:r w:rsidRPr="00DB625E">
        <w:t xml:space="preserve">. Its </w:t>
      </w:r>
      <w:r w:rsidRPr="002B0F63">
        <w:rPr>
          <w:i/>
        </w:rPr>
        <w:t>compensation</w:t>
      </w:r>
      <w:r w:rsidRPr="00DB625E">
        <w:t xml:space="preserve"> tool was then opened and the subsets to the left and right of the bisection were dragged into fields labeled </w:t>
      </w:r>
      <w:r w:rsidRPr="002B0F63">
        <w:rPr>
          <w:i/>
        </w:rPr>
        <w:t>negative</w:t>
      </w:r>
      <w:r w:rsidRPr="00DB625E">
        <w:t xml:space="preserve"> and positive, respectively. The process was repeated for all 11 </w:t>
      </w:r>
      <w:r>
        <w:t>antibodies</w:t>
      </w:r>
      <w:r w:rsidRPr="00DB625E">
        <w:t xml:space="preserve"> plus the FVD. Next, a new </w:t>
      </w:r>
      <w:r w:rsidRPr="00D40059">
        <w:rPr>
          <w:i/>
        </w:rPr>
        <w:t>group</w:t>
      </w:r>
      <w:r w:rsidRPr="00DB625E">
        <w:t xml:space="preserve"> in the </w:t>
      </w:r>
      <w:r w:rsidRPr="00D40059">
        <w:rPr>
          <w:i/>
        </w:rPr>
        <w:t>workspace</w:t>
      </w:r>
      <w:r w:rsidRPr="00DB625E">
        <w:t xml:space="preserve"> window was generated and titled “cocktails” to which the 80 experimental samples were imported. The finalized compensation matrix was then applied to the “cocktails” group. Viable singlets from each experimental sample were gated in the same way as the single-color compensation controls according to the first 4 steps of the gating strategy outlined above then exported as new FCS3.0 files; the </w:t>
      </w:r>
      <w:r>
        <w:t>aggregate</w:t>
      </w:r>
      <w:r w:rsidRPr="00DB625E">
        <w:t xml:space="preserve"> of </w:t>
      </w:r>
      <w:r>
        <w:t>such</w:t>
      </w:r>
      <w:r w:rsidRPr="00DB625E">
        <w:t xml:space="preserve"> files from each of the study’s 3 time points </w:t>
      </w:r>
      <w:r>
        <w:t xml:space="preserve">served </w:t>
      </w:r>
      <w:r w:rsidRPr="00DB625E">
        <w:t xml:space="preserve">as </w:t>
      </w:r>
      <w:r>
        <w:t>input into our computational data analysis algorithm.</w:t>
      </w:r>
    </w:p>
    <w:p w:rsidR="00B34B3A" w:rsidRPr="00DB625E" w:rsidRDefault="00B34B3A" w:rsidP="00B34B3A">
      <w:pPr>
        <w:spacing w:line="480" w:lineRule="auto"/>
        <w:contextualSpacing/>
        <w:rPr>
          <w:b/>
        </w:rPr>
      </w:pPr>
    </w:p>
    <w:p w:rsidR="00B34B3A" w:rsidRPr="00A30214" w:rsidRDefault="00B34B3A" w:rsidP="00B34B3A">
      <w:pPr>
        <w:spacing w:line="480" w:lineRule="auto"/>
        <w:contextualSpacing/>
        <w:rPr>
          <w:b/>
          <w:bCs/>
        </w:rPr>
      </w:pPr>
      <w:r w:rsidRPr="00A30214">
        <w:rPr>
          <w:b/>
          <w:bCs/>
        </w:rPr>
        <w:t>Weighted Random Sampling</w:t>
      </w:r>
      <w:r>
        <w:rPr>
          <w:b/>
          <w:bCs/>
        </w:rPr>
        <w:t xml:space="preserve">. </w:t>
      </w:r>
      <w:r w:rsidRPr="00DB625E">
        <w:rPr>
          <w:bCs/>
        </w:rPr>
        <w:t xml:space="preserve">A 10 million cell weighted random sample (WRS) was derived from the </w:t>
      </w:r>
      <w:r w:rsidR="001A4586">
        <w:rPr>
          <w:bCs/>
        </w:rPr>
        <w:t>pre-processed</w:t>
      </w:r>
      <w:r w:rsidRPr="00DB625E">
        <w:rPr>
          <w:bCs/>
        </w:rPr>
        <w:t xml:space="preserve"> flow cytometry data </w:t>
      </w:r>
      <w:r>
        <w:rPr>
          <w:bCs/>
        </w:rPr>
        <w:t>to help balance the number of cells per tissue sample</w:t>
      </w:r>
      <w:r w:rsidRPr="00DB625E">
        <w:rPr>
          <w:bCs/>
        </w:rPr>
        <w:t>.</w:t>
      </w:r>
      <w:r w:rsidRPr="00DB625E">
        <w:t xml:space="preserve"> </w:t>
      </w:r>
      <w:r w:rsidRPr="00DB625E">
        <w:rPr>
          <w:bCs/>
        </w:rPr>
        <w:t>Sample w</w:t>
      </w:r>
      <w:r w:rsidRPr="00DB625E">
        <w:t xml:space="preserve">eights were defined per tissue per cell </w:t>
      </w:r>
      <w:r>
        <w:t>according to</w:t>
      </w:r>
      <w:r w:rsidRPr="00DB625E">
        <w:t xml:space="preserve"> the formula [(1/ω) x (1/N</w:t>
      </w:r>
      <w:r w:rsidRPr="00DB625E">
        <w:rPr>
          <w:i/>
          <w:vertAlign w:val="subscript"/>
        </w:rPr>
        <w:t>i</w:t>
      </w:r>
      <w:r w:rsidRPr="00DB625E">
        <w:t>)] where ω was the number of unique tissue types (5 in this cases) and N</w:t>
      </w:r>
      <w:r w:rsidRPr="00DB625E">
        <w:rPr>
          <w:i/>
          <w:vertAlign w:val="subscript"/>
        </w:rPr>
        <w:t>i</w:t>
      </w:r>
      <w:r w:rsidRPr="00DB625E">
        <w:t xml:space="preserve"> was the number of events associated with the </w:t>
      </w:r>
      <w:r w:rsidRPr="00DB625E">
        <w:rPr>
          <w:i/>
        </w:rPr>
        <w:t>i</w:t>
      </w:r>
      <w:r w:rsidRPr="00DB625E">
        <w:rPr>
          <w:vertAlign w:val="superscript"/>
        </w:rPr>
        <w:t>th</w:t>
      </w:r>
      <w:r w:rsidRPr="00DB625E">
        <w:t xml:space="preserve"> tissue where </w:t>
      </w:r>
      <w:r w:rsidRPr="00DB625E">
        <w:rPr>
          <w:i/>
        </w:rPr>
        <w:t>i</w:t>
      </w:r>
      <w:r w:rsidRPr="00DB625E">
        <w:t xml:space="preserve"> took the categorical values blood, marrow, nodes, spleen, thymus.</w:t>
      </w:r>
    </w:p>
    <w:p w:rsidR="00B34B3A" w:rsidRPr="00A30214" w:rsidRDefault="00B34B3A" w:rsidP="00B34B3A">
      <w:pPr>
        <w:spacing w:line="480" w:lineRule="auto"/>
        <w:contextualSpacing/>
        <w:rPr>
          <w:b/>
          <w:bCs/>
        </w:rPr>
      </w:pPr>
    </w:p>
    <w:p w:rsidR="00B34B3A" w:rsidRPr="00D12DE7" w:rsidRDefault="00B34B3A" w:rsidP="00B34B3A">
      <w:pPr>
        <w:spacing w:line="480" w:lineRule="auto"/>
        <w:contextualSpacing/>
        <w:rPr>
          <w:b/>
          <w:bCs/>
        </w:rPr>
      </w:pPr>
      <w:r>
        <w:rPr>
          <w:b/>
          <w:bCs/>
        </w:rPr>
        <w:t xml:space="preserve">Histogram Gating. </w:t>
      </w:r>
      <w:r w:rsidR="001A4586">
        <w:t>Pre-processed</w:t>
      </w:r>
      <w:r w:rsidRPr="00DB625E">
        <w:t xml:space="preserve"> flow cytometry data (i.e. compensated viable singlets) were displayed </w:t>
      </w:r>
      <w:r>
        <w:t xml:space="preserve">as 2,640 histograms (240 samples x 11 antibody detection channels) plotted on </w:t>
      </w:r>
      <w:r w:rsidRPr="00DB625E">
        <w:t>a Logicle</w:t>
      </w:r>
      <w:r>
        <w:fldChar w:fldCharType="begin"/>
      </w:r>
      <w:r>
        <w:instrText xml:space="preserve"> ADDIN ZOTERO_ITEM CSL_CITATION {"citationID":"iINPU6LL","properties":{"formattedCitation":"\\super 56\\nosupersub{}","plainCitation":"56","noteIndex":0},"citationItems":[{"id":195,"uris":["http://zotero.org/users/local/oR8ZFVJz/items/SALBPQQS"],"uri":["http://zotero.org/users/local/oR8ZFVJz/items/SALBPQQS"],"itemData":{"id":195,"type":"article-journal","title":"A new \"Logicle\" display method avoids deceptive effects of logarithmic scaling for low signals and compensated data","container-title":"Cytometry. Part A: The Journal of the International Society for Analytical Cytology","page":"541-551","volume":"69","issue":"6","source":"PubMed","abstract":"BACKGROUND: In immunofluorescence measurements and most other flow cytometry applications, fluorescence signals of interest can range down to essentially zero. After fluorescence compensation, some cell populations will have low means and include events with negative data values. Logarithmic presentation has been very useful in providing informative displays of wide-ranging flow cytometry data, but it fails to adequately display cell populations with low means and high variances and, in particular, offers no way to include negative data values. This has led to a great deal of difficulty in interpreting and understanding flow cytometry data, has often resulted in incorrect delineation of cell populations, and has led many people to question the correctness of compensation computations that were, in fact, correct.\nRESULTS: We identified a set of criteria for creating data visualization methods that accommodate the scaling difficulties presented by flow cytometry data. On the basis of these, we developed a new data visualization method that provides important advantages over linear or logarithmic scaling for display of flow cytometry data, a scaling we refer to as \"Logicle\" scaling. Logicle functions represent a particular generalization of the hyperbolic sine function with one more adjustable parameter than linear or logarithmic functions. Finally, we developed methods for objectively and automatically selecting an appropriate value for this parameter.\nCONCLUSIONS: The Logicle display method provides more complete, appropriate, and readily interpretable representations of data that includes populations with low-to-zero means, including distributions resulting from fluorescence compensation procedures, than can be produced using either logarithmic or linear displays. The method includes a specific algorithm for evaluating actual data distributions and deriving parameters of the Logicle scaling function appropriate for optimal display of that data. It is critical to note that Logicle visualization does not change the data values or the descriptive statistics computed from them.","DOI":"10.1002/cyto.a.20258","ISSN":"1552-4922","note":"PMID: 16604519","journalAbbreviation":"Cytometry A","language":"eng","author":[{"family":"Parks","given":"David R."},{"family":"Roederer","given":"Mario"},{"family":"Moore","given":"Wayne A."}],"issued":{"date-parts":[["2006",6]]}}}],"schema":"https://github.com/citation-style-language/schema/raw/master/csl-citation.json"} </w:instrText>
      </w:r>
      <w:r>
        <w:fldChar w:fldCharType="separate"/>
      </w:r>
      <w:r w:rsidRPr="00A350E1">
        <w:rPr>
          <w:vertAlign w:val="superscript"/>
        </w:rPr>
        <w:t>56</w:t>
      </w:r>
      <w:r>
        <w:fldChar w:fldCharType="end"/>
      </w:r>
      <w:r>
        <w:t xml:space="preserve"> </w:t>
      </w:r>
      <w:r w:rsidRPr="00DB625E">
        <w:t xml:space="preserve">scale </w:t>
      </w:r>
      <w:r>
        <w:t>and formatted as</w:t>
      </w:r>
      <w:r w:rsidRPr="00DB625E">
        <w:rPr>
          <w:bCs/>
        </w:rPr>
        <w:t xml:space="preserve"> </w:t>
      </w:r>
      <w:r>
        <w:rPr>
          <w:bCs/>
        </w:rPr>
        <w:t>scalable vector g</w:t>
      </w:r>
      <w:r w:rsidRPr="00B54140">
        <w:rPr>
          <w:bCs/>
        </w:rPr>
        <w:t>raphics</w:t>
      </w:r>
      <w:r>
        <w:rPr>
          <w:bCs/>
        </w:rPr>
        <w:t xml:space="preserve"> (</w:t>
      </w:r>
      <w:r w:rsidRPr="00DB625E">
        <w:rPr>
          <w:bCs/>
        </w:rPr>
        <w:t>SVG</w:t>
      </w:r>
      <w:r>
        <w:rPr>
          <w:bCs/>
        </w:rPr>
        <w:t>s)</w:t>
      </w:r>
      <w:r w:rsidRPr="00DB625E">
        <w:rPr>
          <w:bCs/>
        </w:rPr>
        <w:t xml:space="preserve"> in </w:t>
      </w:r>
      <w:r>
        <w:rPr>
          <w:bCs/>
        </w:rPr>
        <w:t xml:space="preserve">the context of </w:t>
      </w:r>
      <w:r w:rsidRPr="00DB625E">
        <w:rPr>
          <w:bCs/>
        </w:rPr>
        <w:t xml:space="preserve">a scrolling HTML table viewable with a web browser. A KDE of the signal intensity distribution of cells from the FVD well (i.e. compensated unstained viable splenocytes) was superimposed </w:t>
      </w:r>
      <w:r>
        <w:rPr>
          <w:bCs/>
        </w:rPr>
        <w:t xml:space="preserve">on each </w:t>
      </w:r>
      <w:r w:rsidRPr="00DB625E">
        <w:rPr>
          <w:bCs/>
        </w:rPr>
        <w:t xml:space="preserve">to </w:t>
      </w:r>
      <w:r w:rsidRPr="00DB625E">
        <w:rPr>
          <w:bCs/>
        </w:rPr>
        <w:lastRenderedPageBreak/>
        <w:t>identify signal intensity values c</w:t>
      </w:r>
      <w:r>
        <w:rPr>
          <w:bCs/>
        </w:rPr>
        <w:t>orresponding to auto</w:t>
      </w:r>
      <w:r w:rsidRPr="00DB625E">
        <w:rPr>
          <w:bCs/>
        </w:rPr>
        <w:t>fluorescence</w:t>
      </w:r>
      <w:r>
        <w:rPr>
          <w:bCs/>
        </w:rPr>
        <w:t xml:space="preserve"> background</w:t>
      </w:r>
      <w:r w:rsidRPr="00DB625E">
        <w:rPr>
          <w:bCs/>
        </w:rPr>
        <w:t>.</w:t>
      </w:r>
      <w:r w:rsidRPr="00DB625E">
        <w:t xml:space="preserve"> </w:t>
      </w:r>
      <w:r w:rsidRPr="00DB625E">
        <w:rPr>
          <w:bCs/>
        </w:rPr>
        <w:t xml:space="preserve">This allowed for the rapid </w:t>
      </w:r>
      <w:r>
        <w:t xml:space="preserve">recording </w:t>
      </w:r>
      <w:r w:rsidRPr="00DB625E">
        <w:rPr>
          <w:bCs/>
        </w:rPr>
        <w:t xml:space="preserve">of </w:t>
      </w:r>
      <w:r>
        <w:rPr>
          <w:bCs/>
        </w:rPr>
        <w:t xml:space="preserve">bisection point </w:t>
      </w:r>
      <w:r>
        <w:t>at</w:t>
      </w:r>
      <w:r w:rsidRPr="00DB625E">
        <w:t xml:space="preserve"> </w:t>
      </w:r>
      <w:r>
        <w:t>the interface of</w:t>
      </w:r>
      <w:r w:rsidRPr="00DB625E">
        <w:t xml:space="preserve"> the first (autofluorescence) and second (true signal) peaks </w:t>
      </w:r>
      <w:r>
        <w:t xml:space="preserve">for all </w:t>
      </w:r>
      <w:r w:rsidRPr="00DB625E">
        <w:t>histogram</w:t>
      </w:r>
      <w:r>
        <w:t>s</w:t>
      </w:r>
      <w:r w:rsidRPr="00DB625E">
        <w:t xml:space="preserve"> </w:t>
      </w:r>
      <w:r w:rsidRPr="00DB625E">
        <w:rPr>
          <w:bCs/>
        </w:rPr>
        <w:t>in a .TXT file. A vertical</w:t>
      </w:r>
      <w:r>
        <w:rPr>
          <w:bCs/>
        </w:rPr>
        <w:t xml:space="preserve"> </w:t>
      </w:r>
      <w:r w:rsidRPr="00DB625E">
        <w:rPr>
          <w:bCs/>
        </w:rPr>
        <w:t xml:space="preserve">line was then </w:t>
      </w:r>
      <w:r>
        <w:rPr>
          <w:bCs/>
        </w:rPr>
        <w:t xml:space="preserve">programmatically </w:t>
      </w:r>
      <w:r w:rsidRPr="00DB625E">
        <w:rPr>
          <w:bCs/>
        </w:rPr>
        <w:t xml:space="preserve">rendered at the location of each </w:t>
      </w:r>
      <w:r>
        <w:rPr>
          <w:bCs/>
        </w:rPr>
        <w:t>bisection point</w:t>
      </w:r>
      <w:r w:rsidRPr="00DB625E">
        <w:rPr>
          <w:bCs/>
        </w:rPr>
        <w:t xml:space="preserve"> and again visualized as a scrolling HTML table on the web</w:t>
      </w:r>
      <w:r>
        <w:rPr>
          <w:bCs/>
        </w:rPr>
        <w:t xml:space="preserve"> for confirmation or refinement. </w:t>
      </w:r>
      <w:r w:rsidRPr="00DB625E">
        <w:rPr>
          <w:bCs/>
        </w:rPr>
        <w:t xml:space="preserve">The numerical value of each </w:t>
      </w:r>
      <w:r>
        <w:rPr>
          <w:bCs/>
        </w:rPr>
        <w:t>bisection point</w:t>
      </w:r>
      <w:r w:rsidRPr="00DB625E">
        <w:rPr>
          <w:bCs/>
        </w:rPr>
        <w:t xml:space="preserve"> was </w:t>
      </w:r>
      <w:r>
        <w:rPr>
          <w:bCs/>
        </w:rPr>
        <w:t xml:space="preserve">then </w:t>
      </w:r>
      <w:r w:rsidRPr="00DB625E">
        <w:rPr>
          <w:bCs/>
        </w:rPr>
        <w:t xml:space="preserve">Logicle-transformed </w:t>
      </w:r>
      <w:r>
        <w:rPr>
          <w:bCs/>
        </w:rPr>
        <w:t>and</w:t>
      </w:r>
      <w:r w:rsidRPr="00DB625E">
        <w:rPr>
          <w:bCs/>
        </w:rPr>
        <w:t xml:space="preserve"> subtracted from the Logicle-transformed signal intensity values of </w:t>
      </w:r>
      <w:r>
        <w:rPr>
          <w:bCs/>
        </w:rPr>
        <w:t>its corresponding histogram</w:t>
      </w:r>
      <w:r w:rsidRPr="00DB625E">
        <w:rPr>
          <w:bCs/>
        </w:rPr>
        <w:t xml:space="preserve"> (</w:t>
      </w:r>
      <w:r>
        <w:rPr>
          <w:bCs/>
        </w:rPr>
        <w:t xml:space="preserve">i.e. </w:t>
      </w:r>
      <w:proofErr w:type="gramStart"/>
      <w:r w:rsidRPr="00DB625E">
        <w:rPr>
          <w:bCs/>
        </w:rPr>
        <w:t>L</w:t>
      </w:r>
      <w:r>
        <w:rPr>
          <w:bCs/>
        </w:rPr>
        <w:t>ogicle</w:t>
      </w:r>
      <w:r w:rsidRPr="00DB625E">
        <w:rPr>
          <w:bCs/>
        </w:rPr>
        <w:t>[</w:t>
      </w:r>
      <w:proofErr w:type="gramEnd"/>
      <w:r w:rsidRPr="00DB625E">
        <w:rPr>
          <w:bCs/>
        </w:rPr>
        <w:t>data point</w:t>
      </w:r>
      <w:r w:rsidRPr="00DB625E">
        <w:rPr>
          <w:bCs/>
          <w:vertAlign w:val="subscript"/>
        </w:rPr>
        <w:t>i</w:t>
      </w:r>
      <w:r w:rsidRPr="00DB625E">
        <w:rPr>
          <w:bCs/>
        </w:rPr>
        <w:t>]) – L</w:t>
      </w:r>
      <w:r>
        <w:rPr>
          <w:bCs/>
        </w:rPr>
        <w:t>ogicle</w:t>
      </w:r>
      <w:r w:rsidRPr="00DB625E">
        <w:rPr>
          <w:bCs/>
        </w:rPr>
        <w:t>[</w:t>
      </w:r>
      <w:r>
        <w:rPr>
          <w:bCs/>
        </w:rPr>
        <w:t>bisection point</w:t>
      </w:r>
      <w:r w:rsidRPr="00DB625E">
        <w:rPr>
          <w:bCs/>
        </w:rPr>
        <w:t xml:space="preserve">]) resulting in the Logicle-transformed </w:t>
      </w:r>
      <w:r>
        <w:rPr>
          <w:bCs/>
        </w:rPr>
        <w:t>bisection point</w:t>
      </w:r>
      <w:r w:rsidRPr="00DB625E">
        <w:rPr>
          <w:bCs/>
        </w:rPr>
        <w:t xml:space="preserve"> assuming the numerical value of zero and background signal intensity values becoming negative valued. Since the 5 lymphoid tissue types predominately consisted of immune cells, the CD45 signal intensity distributions were invariable unimodal with no discernable local minima. Thus, for each time point and tissue combination, a common CD45 bias was curated by pooling the corresponding samples, computing Q25 – [1.5 * [Q75 - Q25]], then rounding to the nearest multiple of 5</w:t>
      </w:r>
      <w:r>
        <w:rPr>
          <w:bCs/>
        </w:rPr>
        <w:t>. (</w:t>
      </w:r>
      <w:r w:rsidRPr="00DB625E">
        <w:rPr>
          <w:bCs/>
        </w:rPr>
        <w:t>where Q25 and Q75 were the first and third quartiles of the Logicle-transformed data, respectively).</w:t>
      </w:r>
    </w:p>
    <w:p w:rsidR="00B34B3A" w:rsidRPr="00EC4E37" w:rsidRDefault="00B34B3A" w:rsidP="00EC4E37">
      <w:pPr>
        <w:spacing w:line="480" w:lineRule="auto"/>
        <w:contextualSpacing/>
        <w:outlineLvl w:val="0"/>
      </w:pPr>
      <w:r w:rsidRPr="00DB625E">
        <w:rPr>
          <w:bCs/>
        </w:rPr>
        <w:tab/>
      </w:r>
      <w:r>
        <w:rPr>
          <w:bCs/>
        </w:rPr>
        <w:t>Immunophenotypes</w:t>
      </w:r>
      <w:r w:rsidRPr="00DB625E">
        <w:rPr>
          <w:bCs/>
        </w:rPr>
        <w:t xml:space="preserve"> </w:t>
      </w:r>
      <w:r>
        <w:rPr>
          <w:bCs/>
        </w:rPr>
        <w:t>interpreted as</w:t>
      </w:r>
      <w:r w:rsidRPr="00DB625E">
        <w:rPr>
          <w:bCs/>
        </w:rPr>
        <w:t xml:space="preserve"> CD49b</w:t>
      </w:r>
      <w:r w:rsidRPr="00DB625E">
        <w:rPr>
          <w:bCs/>
          <w:vertAlign w:val="superscript"/>
        </w:rPr>
        <w:t>+</w:t>
      </w:r>
      <w:r w:rsidRPr="00DB625E">
        <w:rPr>
          <w:bCs/>
        </w:rPr>
        <w:t xml:space="preserve"> granulocytes were identified in the blood of both control and GBM mice. Since granulocyte interaction with CD49b</w:t>
      </w:r>
      <w:r w:rsidRPr="00DB625E">
        <w:rPr>
          <w:bCs/>
          <w:vertAlign w:val="superscript"/>
        </w:rPr>
        <w:t>+</w:t>
      </w:r>
      <w:r w:rsidRPr="00DB625E">
        <w:rPr>
          <w:bCs/>
        </w:rPr>
        <w:t xml:space="preserve"> platelets </w:t>
      </w:r>
      <w:r>
        <w:rPr>
          <w:bCs/>
        </w:rPr>
        <w:t xml:space="preserve">is a described phenomenon </w:t>
      </w:r>
      <w:r w:rsidRPr="00DB625E">
        <w:rPr>
          <w:bCs/>
        </w:rPr>
        <w:t>thought to represent a physiologic process required for neutrophil extracellular trap formation</w:t>
      </w:r>
      <w:r w:rsidRPr="00412A09">
        <w:rPr>
          <w:bCs/>
        </w:rPr>
        <w:fldChar w:fldCharType="begin"/>
      </w:r>
      <w:r>
        <w:rPr>
          <w:bCs/>
        </w:rPr>
        <w:instrText xml:space="preserve"> ADDIN ZOTERO_ITEM CSL_CITATION {"citationID":"CN8kRBQA","properties":{"formattedCitation":"\\super 57\\nosupersub{}","plainCitation":"57","noteIndex":0},"citationItems":[{"id":69,"uris":["http://zotero.org/users/local/oR8ZFVJz/items/55ZFNXZL"],"uri":["http://zotero.org/users/local/oR8ZFVJz/items/55ZFNXZL"],"itemData":{"id":69,"type":"article-journal","title":"Intravascular neutrophil extracellular traps capture bacteria from the bloodstream during sepsis","container-title":"Cell Host &amp; Microbe","page":"324-333","volume":"12","issue":"3","source":"PubMed","abstract":"During the systemic inflammatory response of severe sepsis, neutrophils accumulate in the liver microcirculation, but their functional significance is largely unknown. We show that neutrophils migrate to liver sinusoids during endotoxemia and sepsis where they exert protective effects by releasing neutrophil extracellular traps (NETs), which are DNA-based structures that capture and eliminate microbes. NETs released into the vasculature ensnare bacteria from the bloodstream and prevent dissemination. NET production requires platelet-neutrophil interactions and can be inhibited by platelet depletion or disruption of integrin-mediated platelet-neutrophil binding. During sepsis, NET release increases bacterial trapping by 4-fold (beyond the basal level provided by resident intravascular macrophages). Blocking NET formation reduces the capture of circulating bacteria during sepsis, resulting in increased dissemination to distant organs. Thus, NETs ensnare circulating bacteria and provide intravascular immunity that protects against bacterial dissemination during septic infections.","DOI":"10.1016/j.chom.2012.06.011","ISSN":"1934-6069","note":"PMID: 22980329","journalAbbreviation":"Cell Host Microbe","language":"eng","author":[{"family":"McDonald","given":"Braedon"},{"family":"Urrutia","given":"Rossana"},{"family":"Yipp","given":"Bryan G."},{"family":"Jenne","given":"Craig N."},{"family":"Kubes","given":"Paul"}],"issued":{"date-parts":[["2012",9,13]]}}}],"schema":"https://github.com/citation-style-language/schema/raw/master/csl-citation.json"} </w:instrText>
      </w:r>
      <w:r w:rsidRPr="00412A09">
        <w:rPr>
          <w:bCs/>
        </w:rPr>
        <w:fldChar w:fldCharType="separate"/>
      </w:r>
      <w:r w:rsidRPr="00A350E1">
        <w:rPr>
          <w:vertAlign w:val="superscript"/>
        </w:rPr>
        <w:t>57</w:t>
      </w:r>
      <w:r w:rsidRPr="00412A09">
        <w:rPr>
          <w:bCs/>
        </w:rPr>
        <w:fldChar w:fldCharType="end"/>
      </w:r>
      <w:r w:rsidRPr="00DB625E">
        <w:rPr>
          <w:bCs/>
          <w:vertAlign w:val="superscript"/>
        </w:rPr>
        <w:t>,</w:t>
      </w:r>
      <w:r w:rsidRPr="00412A09">
        <w:rPr>
          <w:bCs/>
        </w:rPr>
        <w:fldChar w:fldCharType="begin"/>
      </w:r>
      <w:r>
        <w:rPr>
          <w:bCs/>
        </w:rPr>
        <w:instrText xml:space="preserve"> ADDIN ZOTERO_ITEM CSL_CITATION {"citationID":"pBIQsw4I","properties":{"formattedCitation":"\\super 58\\nosupersub{}","plainCitation":"58","noteIndex":0},"citationItems":[{"id":71,"uris":["http://zotero.org/users/local/oR8ZFVJz/items/DZDL49E7"],"uri":["http://zotero.org/users/local/oR8ZFVJz/items/DZDL49E7"],"itemData":{"id":71,"type":"article-journal","title":"Effects of platelet binding on whole blood flow cytometry assays of monocyte and neutrophil procoagulant activity","container-title":"Journal of thrombosis and haemostasis: JTH","page":"2563-2570","volume":"3","issue":"11","source":"PubMed","abstract":"BACKGROUND: Monocytes and neutrophils form heterotypic aggregates with platelets initially via engagement of platelet surface P-selectin with leukocyte surface P-selectin glycoprotein ligand-1 (PSGL-1). The resultant intracellular signaling causes the leukocyte surface expression of tissue factor and activation of leukocyte surface Mac-1 (integrin alphaMbeta2, CD11b/CD18). The activation-dependent conformational change in monocyte surface Mac-1 results in the binding of coagulation factor Xa (FXa) and/or fibrinogen to Mac-1. The aim of this study was to develop whole blood flow cytometry assays of these procoagulant activities and to investigate the effects of platelet binding to monocytes and neutrophils.\nMETHODS: Citrate or D-Phe-Pro-Arg-chloromethylketone (PPACK) anticoagulated whole blood was incubated with monoclonal antibodies against CD14 (PECy5), CD42a (PE), FITC-conjugated test antibody and an agonist, and then fixed with FACS lyse. Appropriate isotype negative controls were prepared in parallel. A BD FACSCalibur was used to analyze monocytes and neutrophils, which were identified based on CD14 fluorescence, forward and 90 degrees light scatter. These populations were further gated into CD42a-positive (platelet-bound) and CD42a-negative (platelet-free). Geometric mean fluorescence and per cent positive data were collected for each subpopulation to measure the binding of test antibodies directed at CD42a, tissue factor, coagulation FXa, bound fibrinogen, activated Mac-1, and CD11b. Compensation controls were prepared on six normal donors prior to the study and these settings were used throughout the 10 donor study. Negative controls verified the lack of cross talk, particularly in the quantified FITC and PE parameters.\nRESULTS: The physiologic agonists collagen and ADP increased monocyte-platelet and neutrophil-platelet aggregates and increased leukocyte surface Mac-1/CD11b and surface-bound tissue factor, FXa and fibrinogen. Whereas the increases in Mac-1/CD11b were mainly independent of leukocyte-platelet binding, the increases in surface-bound tissue factor, FXa and fibrinogen were mainly dependent on leukocyte-platelet binding.\nCONCLUSIONS: (i) We have developed novel whole blood flow cytometry assays to measure bound tissue factor, coagulation FXa, fibrinogen, activated Mac-1 and CD11b on the surface of monocytes and neutrophils, allowing independent analysis of monocytes and neutrophils with and without surface-adherent platelets. (ii) The monocyte and neutrophil surface binding of tissue factor, FXa and fibrinogen is mainly dependent on platelet adherence to monocytes and neutrophils, whereas the monocyte and neutrophil surface expression of CD11b and activated Mac-1 is mainly independent of platelet adherence to monocytes and neutrophils.","DOI":"10.1111/j.1538-7836.2005.01603.x","ISSN":"1538-7933","note":"PMID: 16241954","journalAbbreviation":"J. Thromb. Haemost.","language":"eng","author":[{"family":"Barnard","given":"M. R."},{"family":"Linden","given":"M. D."},{"family":"Frelinger","given":"A. L."},{"family":"Li","given":"Y."},{"family":"Fox","given":"M. L."},{"family":"Furman","given":"M. I."},{"family":"Michelson","given":"A. D."}],"issued":{"date-parts":[["2005",11]]}}}],"schema":"https://github.com/citation-style-language/schema/raw/master/csl-citation.json"} </w:instrText>
      </w:r>
      <w:r w:rsidRPr="00412A09">
        <w:rPr>
          <w:bCs/>
        </w:rPr>
        <w:fldChar w:fldCharType="separate"/>
      </w:r>
      <w:r w:rsidRPr="00A350E1">
        <w:rPr>
          <w:vertAlign w:val="superscript"/>
        </w:rPr>
        <w:t>58</w:t>
      </w:r>
      <w:r w:rsidRPr="00412A09">
        <w:rPr>
          <w:bCs/>
        </w:rPr>
        <w:fldChar w:fldCharType="end"/>
      </w:r>
      <w:r w:rsidRPr="00DB625E">
        <w:rPr>
          <w:bCs/>
        </w:rPr>
        <w:t xml:space="preserve">, we considered these cells </w:t>
      </w:r>
      <w:r>
        <w:rPr>
          <w:bCs/>
        </w:rPr>
        <w:t>as</w:t>
      </w:r>
      <w:r w:rsidRPr="00DB625E">
        <w:rPr>
          <w:bCs/>
        </w:rPr>
        <w:t xml:space="preserve"> </w:t>
      </w:r>
      <w:r>
        <w:rPr>
          <w:bCs/>
        </w:rPr>
        <w:t xml:space="preserve">a </w:t>
      </w:r>
      <w:r w:rsidRPr="00DB625E">
        <w:rPr>
          <w:bCs/>
        </w:rPr>
        <w:t xml:space="preserve">likely artifact of </w:t>
      </w:r>
      <w:r>
        <w:rPr>
          <w:bCs/>
        </w:rPr>
        <w:t>residual</w:t>
      </w:r>
      <w:r w:rsidRPr="00DB625E">
        <w:rPr>
          <w:bCs/>
        </w:rPr>
        <w:t xml:space="preserve"> platelets present </w:t>
      </w:r>
      <w:r>
        <w:rPr>
          <w:bCs/>
        </w:rPr>
        <w:t xml:space="preserve">within </w:t>
      </w:r>
      <w:r w:rsidRPr="00DB625E">
        <w:rPr>
          <w:bCs/>
        </w:rPr>
        <w:t xml:space="preserve">blood samples. </w:t>
      </w:r>
      <w:r>
        <w:rPr>
          <w:bCs/>
        </w:rPr>
        <w:t xml:space="preserve">In taking a conservative approach </w:t>
      </w:r>
      <w:r w:rsidRPr="00DB625E">
        <w:rPr>
          <w:bCs/>
        </w:rPr>
        <w:t>to correct for this discrepancy</w:t>
      </w:r>
      <w:r>
        <w:rPr>
          <w:bCs/>
        </w:rPr>
        <w:t xml:space="preserve">, </w:t>
      </w:r>
      <w:r w:rsidRPr="00DB625E">
        <w:rPr>
          <w:bCs/>
        </w:rPr>
        <w:t xml:space="preserve">cell status of the CD49b </w:t>
      </w:r>
      <w:r>
        <w:rPr>
          <w:bCs/>
        </w:rPr>
        <w:t>immunomarkers was only considered</w:t>
      </w:r>
      <w:r w:rsidRPr="00DB625E">
        <w:rPr>
          <w:bCs/>
        </w:rPr>
        <w:t xml:space="preserve"> in cases where the </w:t>
      </w:r>
      <w:r>
        <w:rPr>
          <w:bCs/>
        </w:rPr>
        <w:t>immunophenotype</w:t>
      </w:r>
      <w:r w:rsidRPr="00DB625E">
        <w:rPr>
          <w:bCs/>
        </w:rPr>
        <w:t xml:space="preserve"> was </w:t>
      </w:r>
      <w:r>
        <w:rPr>
          <w:bCs/>
        </w:rPr>
        <w:t xml:space="preserve">otherwise </w:t>
      </w:r>
      <w:r w:rsidRPr="00DB625E">
        <w:rPr>
          <w:bCs/>
        </w:rPr>
        <w:t>consistent with</w:t>
      </w:r>
      <w:r>
        <w:rPr>
          <w:bCs/>
        </w:rPr>
        <w:t xml:space="preserve"> </w:t>
      </w:r>
      <w:r w:rsidRPr="00DB625E">
        <w:rPr>
          <w:bCs/>
        </w:rPr>
        <w:t xml:space="preserve">NK </w:t>
      </w:r>
      <w:r>
        <w:rPr>
          <w:bCs/>
        </w:rPr>
        <w:t>cells</w:t>
      </w:r>
      <w:r w:rsidRPr="00DB625E">
        <w:rPr>
          <w:bCs/>
        </w:rPr>
        <w:t xml:space="preserve"> (e.g. CD45</w:t>
      </w:r>
      <w:r w:rsidRPr="00DB625E">
        <w:rPr>
          <w:bCs/>
          <w:vertAlign w:val="superscript"/>
        </w:rPr>
        <w:t>+</w:t>
      </w:r>
      <w:r w:rsidRPr="00DB625E">
        <w:rPr>
          <w:bCs/>
        </w:rPr>
        <w:t>, CD49b</w:t>
      </w:r>
      <w:r w:rsidRPr="00DB625E">
        <w:rPr>
          <w:bCs/>
          <w:vertAlign w:val="superscript"/>
        </w:rPr>
        <w:t>+</w:t>
      </w:r>
      <w:r w:rsidRPr="00DB625E">
        <w:rPr>
          <w:bCs/>
        </w:rPr>
        <w:t>, CD11b</w:t>
      </w:r>
      <w:r w:rsidRPr="00DB625E">
        <w:rPr>
          <w:bCs/>
          <w:vertAlign w:val="superscript"/>
        </w:rPr>
        <w:t>+</w:t>
      </w:r>
      <w:r w:rsidRPr="00DB625E">
        <w:rPr>
          <w:bCs/>
        </w:rPr>
        <w:t xml:space="preserve">). Thus, </w:t>
      </w:r>
      <w:r>
        <w:rPr>
          <w:bCs/>
        </w:rPr>
        <w:t>a</w:t>
      </w:r>
      <w:r w:rsidRPr="00DB625E">
        <w:rPr>
          <w:bCs/>
        </w:rPr>
        <w:t xml:space="preserve"> Boolean truth value of </w:t>
      </w:r>
      <w:r>
        <w:rPr>
          <w:bCs/>
        </w:rPr>
        <w:t>zero for the CD49b channel</w:t>
      </w:r>
      <w:r w:rsidRPr="00DB625E">
        <w:rPr>
          <w:bCs/>
        </w:rPr>
        <w:t xml:space="preserve"> was uniformly applied to all cells whose </w:t>
      </w:r>
      <w:r>
        <w:rPr>
          <w:bCs/>
        </w:rPr>
        <w:t>immunophenotype</w:t>
      </w:r>
      <w:r w:rsidRPr="00DB625E">
        <w:rPr>
          <w:bCs/>
        </w:rPr>
        <w:t xml:space="preserve"> </w:t>
      </w:r>
      <w:r>
        <w:rPr>
          <w:bCs/>
        </w:rPr>
        <w:t>was not matching NK cells</w:t>
      </w:r>
      <w:r w:rsidRPr="00DB625E">
        <w:rPr>
          <w:bCs/>
        </w:rPr>
        <w:t>.</w:t>
      </w:r>
    </w:p>
    <w:p w:rsidR="00B34B3A" w:rsidRDefault="00B34B3A" w:rsidP="00B34B3A">
      <w:pPr>
        <w:spacing w:line="480" w:lineRule="auto"/>
        <w:contextualSpacing/>
        <w:rPr>
          <w:b/>
          <w:bCs/>
        </w:rPr>
      </w:pPr>
    </w:p>
    <w:p w:rsidR="00B34B3A" w:rsidRPr="00DB625E" w:rsidRDefault="00B34B3A" w:rsidP="00B34B3A">
      <w:pPr>
        <w:spacing w:line="480" w:lineRule="auto"/>
        <w:contextualSpacing/>
        <w:rPr>
          <w:b/>
        </w:rPr>
      </w:pPr>
      <w:r w:rsidRPr="00A30214">
        <w:rPr>
          <w:b/>
          <w:bCs/>
        </w:rPr>
        <w:t>Software</w:t>
      </w:r>
    </w:p>
    <w:p w:rsidR="00B34B3A" w:rsidRPr="00DB625E" w:rsidRDefault="00B34B3A" w:rsidP="00B34B3A">
      <w:pPr>
        <w:spacing w:line="480" w:lineRule="auto"/>
        <w:ind w:firstLine="270"/>
        <w:contextualSpacing/>
      </w:pPr>
      <w:r w:rsidRPr="00DB625E">
        <w:t>•  FACSDiva (version 8.0)</w:t>
      </w:r>
    </w:p>
    <w:p w:rsidR="009A77F3" w:rsidRPr="00B34B3A" w:rsidRDefault="00B34B3A" w:rsidP="00EC4E37">
      <w:pPr>
        <w:spacing w:line="480" w:lineRule="auto"/>
        <w:ind w:firstLine="270"/>
        <w:contextualSpacing/>
      </w:pPr>
      <w:r w:rsidRPr="00DB625E">
        <w:t>•  FlowJo (version 10.3.0)</w:t>
      </w:r>
    </w:p>
    <w:sectPr w:rsidR="009A77F3" w:rsidRPr="00B34B3A" w:rsidSect="00712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66B6"/>
    <w:multiLevelType w:val="hybridMultilevel"/>
    <w:tmpl w:val="470A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0B6C"/>
    <w:multiLevelType w:val="hybridMultilevel"/>
    <w:tmpl w:val="9D6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450B4"/>
    <w:multiLevelType w:val="hybridMultilevel"/>
    <w:tmpl w:val="0C36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1415E"/>
    <w:multiLevelType w:val="hybridMultilevel"/>
    <w:tmpl w:val="A710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E029D"/>
    <w:multiLevelType w:val="hybridMultilevel"/>
    <w:tmpl w:val="0BCCF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35F6C"/>
    <w:multiLevelType w:val="hybridMultilevel"/>
    <w:tmpl w:val="1FA2E7FE"/>
    <w:lvl w:ilvl="0" w:tplc="04090001">
      <w:start w:val="1"/>
      <w:numFmt w:val="bullet"/>
      <w:lvlText w:val=""/>
      <w:lvlJc w:val="left"/>
      <w:pPr>
        <w:ind w:left="720" w:hanging="360"/>
      </w:pPr>
      <w:rPr>
        <w:rFonts w:ascii="Symbol" w:hAnsi="Symbol" w:hint="default"/>
      </w:rPr>
    </w:lvl>
    <w:lvl w:ilvl="1" w:tplc="7E6A2D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B4FB8"/>
    <w:multiLevelType w:val="hybridMultilevel"/>
    <w:tmpl w:val="FA18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443AE"/>
    <w:multiLevelType w:val="hybridMultilevel"/>
    <w:tmpl w:val="09D0B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2214E"/>
    <w:multiLevelType w:val="hybridMultilevel"/>
    <w:tmpl w:val="F02EA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E3AE5"/>
    <w:multiLevelType w:val="hybridMultilevel"/>
    <w:tmpl w:val="C48CBFE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1062AA7"/>
    <w:multiLevelType w:val="hybridMultilevel"/>
    <w:tmpl w:val="9FE8EF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CA7DE8"/>
    <w:multiLevelType w:val="hybridMultilevel"/>
    <w:tmpl w:val="36AE1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221CD"/>
    <w:multiLevelType w:val="hybridMultilevel"/>
    <w:tmpl w:val="F492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64C2D"/>
    <w:multiLevelType w:val="hybridMultilevel"/>
    <w:tmpl w:val="61043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E3B45"/>
    <w:multiLevelType w:val="hybridMultilevel"/>
    <w:tmpl w:val="37D4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67263"/>
    <w:multiLevelType w:val="hybridMultilevel"/>
    <w:tmpl w:val="E78A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D75DB"/>
    <w:multiLevelType w:val="hybridMultilevel"/>
    <w:tmpl w:val="9A04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12359"/>
    <w:multiLevelType w:val="hybridMultilevel"/>
    <w:tmpl w:val="AAE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37FE2"/>
    <w:multiLevelType w:val="hybridMultilevel"/>
    <w:tmpl w:val="8E7E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11163"/>
    <w:multiLevelType w:val="hybridMultilevel"/>
    <w:tmpl w:val="77E0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F4DCD"/>
    <w:multiLevelType w:val="hybridMultilevel"/>
    <w:tmpl w:val="FF643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E0E9D"/>
    <w:multiLevelType w:val="hybridMultilevel"/>
    <w:tmpl w:val="E68E69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46D69"/>
    <w:multiLevelType w:val="hybridMultilevel"/>
    <w:tmpl w:val="2BD04A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112539"/>
    <w:multiLevelType w:val="hybridMultilevel"/>
    <w:tmpl w:val="818C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F5A91"/>
    <w:multiLevelType w:val="hybridMultilevel"/>
    <w:tmpl w:val="7AE4FC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4665D"/>
    <w:multiLevelType w:val="hybridMultilevel"/>
    <w:tmpl w:val="A532029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7438D"/>
    <w:multiLevelType w:val="hybridMultilevel"/>
    <w:tmpl w:val="715C3D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B78F0"/>
    <w:multiLevelType w:val="hybridMultilevel"/>
    <w:tmpl w:val="1340F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C3A9C"/>
    <w:multiLevelType w:val="hybridMultilevel"/>
    <w:tmpl w:val="96FA9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FB04E7"/>
    <w:multiLevelType w:val="hybridMultilevel"/>
    <w:tmpl w:val="6A6C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95EA2"/>
    <w:multiLevelType w:val="hybridMultilevel"/>
    <w:tmpl w:val="9B52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A2BEC"/>
    <w:multiLevelType w:val="hybridMultilevel"/>
    <w:tmpl w:val="BF32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F3351"/>
    <w:multiLevelType w:val="hybridMultilevel"/>
    <w:tmpl w:val="BA1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
  </w:num>
  <w:num w:numId="4">
    <w:abstractNumId w:val="6"/>
  </w:num>
  <w:num w:numId="5">
    <w:abstractNumId w:val="5"/>
  </w:num>
  <w:num w:numId="6">
    <w:abstractNumId w:val="4"/>
  </w:num>
  <w:num w:numId="7">
    <w:abstractNumId w:val="20"/>
  </w:num>
  <w:num w:numId="8">
    <w:abstractNumId w:val="10"/>
  </w:num>
  <w:num w:numId="9">
    <w:abstractNumId w:val="9"/>
  </w:num>
  <w:num w:numId="10">
    <w:abstractNumId w:val="18"/>
  </w:num>
  <w:num w:numId="11">
    <w:abstractNumId w:val="14"/>
  </w:num>
  <w:num w:numId="12">
    <w:abstractNumId w:val="24"/>
  </w:num>
  <w:num w:numId="13">
    <w:abstractNumId w:val="30"/>
  </w:num>
  <w:num w:numId="14">
    <w:abstractNumId w:val="19"/>
  </w:num>
  <w:num w:numId="15">
    <w:abstractNumId w:val="11"/>
  </w:num>
  <w:num w:numId="16">
    <w:abstractNumId w:val="25"/>
  </w:num>
  <w:num w:numId="17">
    <w:abstractNumId w:val="26"/>
  </w:num>
  <w:num w:numId="18">
    <w:abstractNumId w:val="8"/>
  </w:num>
  <w:num w:numId="19">
    <w:abstractNumId w:val="15"/>
  </w:num>
  <w:num w:numId="20">
    <w:abstractNumId w:val="13"/>
  </w:num>
  <w:num w:numId="21">
    <w:abstractNumId w:val="23"/>
  </w:num>
  <w:num w:numId="22">
    <w:abstractNumId w:val="27"/>
  </w:num>
  <w:num w:numId="23">
    <w:abstractNumId w:val="1"/>
  </w:num>
  <w:num w:numId="24">
    <w:abstractNumId w:val="31"/>
  </w:num>
  <w:num w:numId="25">
    <w:abstractNumId w:val="29"/>
  </w:num>
  <w:num w:numId="26">
    <w:abstractNumId w:val="16"/>
  </w:num>
  <w:num w:numId="27">
    <w:abstractNumId w:val="7"/>
  </w:num>
  <w:num w:numId="28">
    <w:abstractNumId w:val="21"/>
  </w:num>
  <w:num w:numId="29">
    <w:abstractNumId w:val="32"/>
  </w:num>
  <w:num w:numId="30">
    <w:abstractNumId w:val="22"/>
  </w:num>
  <w:num w:numId="31">
    <w:abstractNumId w:val="0"/>
  </w:num>
  <w:num w:numId="32">
    <w:abstractNumId w:val="3"/>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C9"/>
    <w:rsid w:val="001343A0"/>
    <w:rsid w:val="00165884"/>
    <w:rsid w:val="001A4586"/>
    <w:rsid w:val="001A79EC"/>
    <w:rsid w:val="002C2774"/>
    <w:rsid w:val="003434DB"/>
    <w:rsid w:val="005501E5"/>
    <w:rsid w:val="00712366"/>
    <w:rsid w:val="00716049"/>
    <w:rsid w:val="009A77F3"/>
    <w:rsid w:val="00A307C8"/>
    <w:rsid w:val="00B34B3A"/>
    <w:rsid w:val="00BE5FC9"/>
    <w:rsid w:val="00D50570"/>
    <w:rsid w:val="00E7766D"/>
    <w:rsid w:val="00E86F50"/>
    <w:rsid w:val="00EC4E37"/>
    <w:rsid w:val="00FC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34CD5"/>
  <w14:defaultImageDpi w14:val="32767"/>
  <w15:chartTrackingRefBased/>
  <w15:docId w15:val="{5D080B7D-9737-BA4D-B966-1174798B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5FC9"/>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FC9"/>
    <w:pPr>
      <w:spacing w:after="200" w:line="276" w:lineRule="auto"/>
      <w:ind w:left="720"/>
      <w:contextualSpacing/>
    </w:pPr>
    <w:rPr>
      <w:rFonts w:asciiTheme="minorHAnsi" w:hAnsiTheme="minorHAnsi" w:cstheme="minorBidi"/>
      <w:sz w:val="22"/>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7671</Words>
  <Characters>43725</Characters>
  <Application>Microsoft Office Word</Application>
  <DocSecurity>0</DocSecurity>
  <Lines>364</Lines>
  <Paragraphs>102</Paragraphs>
  <ScaleCrop>false</ScaleCrop>
  <Company/>
  <LinksUpToDate>false</LinksUpToDate>
  <CharactersWithSpaces>51294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2019-03-11T14:32:00Z</dcterms:created>
  <dcterms:modified xsi:type="dcterms:W3CDTF">2019-03-11T15:22:00Z</dcterms:modified>
</cp:coreProperties>
</file>