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大语言模型驱动的多岛启发式搜索实验研究</w:t>
      </w:r>
    </w:p>
    <w:p>
      <w:pPr>
        <w:pStyle w:val="Subtitle"/>
        <w:jc w:val="center"/>
      </w:pPr>
      <w:r>
        <w:t>605次有效运行的阶段性基准分析</w:t>
      </w:r>
    </w:p>
    <w:p>
      <w:pPr>
        <w:pStyle w:val="Heading1"/>
      </w:pPr>
      <w:r>
        <w:t>摘要</w:t>
      </w:r>
    </w:p>
    <w:p>
      <w:pPr>
        <w:jc w:val="both"/>
      </w:pPr>
      <w:r>
        <w:rPr>
          <w:b w:val="0"/>
        </w:rPr>
        <w:t>针对组合优化中启发式规则依赖人工经验、搜索策略难以系统积累的问题，本文对一组大语言模型驱动的多岛启发式搜索实验进行统计重建与方法分析。研究对象包括旅行商问题、容量约束车辆路径问题和在线装箱问题。实验通过多个子种群并行探索、历史优良策略共享以及结构与参数变异，在固定问题实例上迭代改进构造性启发式规则。归档资料共包含631次启动记录，其中605次形成有效结果，分别为旅行商问题206次、车辆路径问题207次、在线装箱问题192次；其余26次均未形成有效的装箱初始种群。以早期实验冻结的目标值作为历史参考，三类问题的终点目标中位数分别为6.212865、12.858850和0.036875，对应相对改善率为5.29%、4.88%和7.35%；最优结果分别为6.00393、12.35639和0.00674。超过5%改善阈值的有效运行共317次，占52.40%。进一步的进化轨迹分析表明，旅行商与车辆路径问题的改善较为集中，而装箱问题表现出最优结果与典型结果差距较大的特征。数学机制分析揭示，部分名称不同的车辆路径规则具有相同的局部排序形式，装箱高质量规则则通过非单调的剩余容量偏好协调紧致装填与空间预留。鉴于各运行共享历史信息，且比较对象在模型及搜索预算方面存在差异，本文将结果定位为固定实例上的阶段性探索基准，不据此推断特定模块的独立因果贡献或对未知实例的泛化能力。本研究为后续建立统一比较条件、开展机制消融及独立验证提供了明确的参考起点。</w:t>
      </w:r>
    </w:p>
    <w:p>
      <w:pPr>
        <w:ind w:firstLine="0"/>
        <w:jc w:val="both"/>
      </w:pPr>
      <w:r>
        <w:rPr>
          <w:b w:val="0"/>
        </w:rPr>
      </w:r>
      <w:r>
        <w:rPr>
          <w:b/>
        </w:rPr>
        <w:t>关键词：</w:t>
      </w:r>
      <w:r>
        <w:rPr>
          <w:b w:val="0"/>
        </w:rPr>
        <w:t xml:space="preserve"> 组合优化；大语言模型；自动启发式设计；多岛搜索；车辆路径；在线装箱</w:t>
      </w:r>
    </w:p>
    <w:p>
      <w:pPr>
        <w:pStyle w:val="Heading1"/>
      </w:pPr>
      <w:r>
        <w:t>1 研究背景与研究问题</w:t>
      </w:r>
    </w:p>
    <w:p>
      <w:pPr>
        <w:jc w:val="both"/>
      </w:pPr>
      <w:r>
        <w:rPr>
          <w:b w:val="0"/>
        </w:rPr>
        <w:t>组合优化问题往往具有离散决策空间大、约束相互耦合和局部选择影响后续可行性的特点。在实际求解中，构造性启发式通过连续执行局部决策形成完整解，其优势在于规则明确、便于嵌入不同求解过程。与此同时，局部评分函数中的距离权重、容量阈值和剩余空间偏好通常依赖人工设计。即使某一规则在给定实例上表现良好，也不意味着该规则适用于其他规模或分布。</w:t>
      </w:r>
    </w:p>
    <w:p>
      <w:pPr>
        <w:jc w:val="both"/>
      </w:pPr>
      <w:r>
        <w:rPr>
          <w:b w:val="0"/>
        </w:rPr>
        <w:t>大语言模型为启发式设计提供了新的候选生成方式。已有研究将语言描述与进化搜索相结合，使启发式结构能够在评测反馈下持续变化[1]。多岛方法则将搜索分散到多个子种群，并通过有限的信息交换促进不同搜索方向之间的交流[2]。本文研究的实验将上述两种思路与历史策略检索结合，关注模型能否在三类不同的组合优化问题中形成有解释性的规则改进。</w:t>
      </w:r>
    </w:p>
    <w:p>
      <w:pPr>
        <w:jc w:val="both"/>
      </w:pPr>
      <w:r>
        <w:rPr>
          <w:b w:val="0"/>
        </w:rPr>
        <w:t>本文不把某一个事后筛选出的最优目标值作为全部实验的代表，而是围绕三个层次展开分析。首先，考察整体分布是否相对历史参考发生改善，特别是中位数、四分位数和达标比例所反映的典型表现。其次，考察同一次运行中的进化轨迹，以区分初始种群已具有的优势与后续迭代产生的改善。最后，将代表性规则还原为数学评分或选择关系，分析其决策偏好及不同规则之间的联系。</w:t>
      </w:r>
    </w:p>
    <w:p>
      <w:pPr>
        <w:jc w:val="both"/>
      </w:pPr>
      <w:r>
        <w:rPr>
          <w:b w:val="0"/>
        </w:rPr>
        <w:t>这批实验的价值在于形成了覆盖三类问题、包含完整逐代记录的历史参考集合。其研究定位是阶段性探索基准：既为后续比较提供可重复使用的问题与结果参照，也为提出更严格的实验假设提供经验依据。后文中的“改善”均指相对于明确指定的参考值或同一运行初始结果的数值下降，不自动表示统计显著性。</w:t>
      </w:r>
    </w:p>
    <w:p>
      <w:pPr>
        <w:pStyle w:val="Heading1"/>
      </w:pPr>
      <w:r>
        <w:t>2 问题描述与评价指标</w:t>
      </w:r>
    </w:p>
    <w:p>
      <w:pPr>
        <w:pStyle w:val="Heading2"/>
      </w:pPr>
      <w:r>
        <w:t>2.1 旅行商问题</w:t>
      </w:r>
    </w:p>
    <w:p>
      <w:pPr>
        <w:jc w:val="both"/>
      </w:pPr>
      <w:r>
        <w:rPr>
          <w:b w:val="0"/>
        </w:rPr>
        <w:t>设城市集合为 V，城市数为 n，城市 i 与 j 之间的距离为 dᵢⱼ。实验采用二维欧氏距离，要求构造经过每个城市恰好一次并返回起点的闭合路径。若排列 π 表示访问顺序，并令 π(n+1)=π(1)，则目标为</w:t>
      </w:r>
    </w:p>
    <w:p>
      <w:pPr>
        <w:spacing w:before="120" w:after="160" w:line="276" w:lineRule="auto"/>
        <w:ind w:firstLine="0"/>
        <w:jc w:val="center"/>
      </w:pPr>
      <m:oMathPara>
        <m:oMath>
          <m:limLow>
            <m:e>
              <m:r>
                <m:rPr>
                  <m:sty m:val="p"/>
                </m:rPr>
                <m:t>min</m:t>
              </m:r>
            </m:e>
            <m:lim>
              <m:r>
                <m:t>π</m:t>
              </m:r>
            </m:lim>
          </m:limLow>
          <m:r>
            <m:rPr>
              <m:nor/>
            </m:rPr>
            <m:t>  </m:t>
          </m:r>
          <m:r>
            <m:t>L(π)=</m:t>
          </m:r>
          <m:nary>
            <m:naryPr>
              <m:chr m:val="∑"/>
              <m:limLoc m:val="undOvr"/>
              <m:grow m:val="1"/>
              <m:subHide m:val="off"/>
              <m:supHide m:val="off"/>
            </m:naryPr>
            <m:sub>
              <m:r>
                <m:t>k=1</m:t>
              </m:r>
            </m:sub>
            <m:sup>
              <m:r>
                <m:t>n</m:t>
              </m:r>
            </m:sup>
            <m:e>
              <m:r>
                <m:rPr>
                  <m:nor/>
                </m:rPr>
                <m:t> </m:t>
              </m:r>
            </m:e>
          </m:nary>
          <m:sSub>
            <m:e>
              <m:r>
                <m:t>d</m:t>
              </m:r>
            </m:e>
            <m:sub>
              <m:r>
                <m:t>π(k),π(k+1)</m:t>
              </m:r>
            </m:sub>
          </m:sSub>
          <m:r>
            <m:t>.</m:t>
          </m:r>
        </m:oMath>
      </m:oMathPara>
    </w:p>
    <w:p>
      <w:pPr>
        <w:jc w:val="both"/>
      </w:pPr>
      <w:r>
        <w:rPr>
          <w:b w:val="0"/>
        </w:rPr>
        <w:t>本文考虑逐点构造路径的规则。在当前城市 i、返回起点 o 和未访问城市集合 U 已知的情况下，启发式选择下一个访问城市。搜索改变的是这个局部选择规则，而不是在完整路径形成后额外执行边交换。因而，规则中即使出现长边惩罚或前瞻估价，也不能据此将其等同于完整的局部搜索算法。</w:t>
      </w:r>
    </w:p>
    <w:p>
      <w:pPr>
        <w:jc w:val="both"/>
      </w:pPr>
      <w:r>
        <w:rPr>
          <w:b w:val="0"/>
        </w:rPr>
        <w:t>旅行商实验包含8个50城市实例，各城市坐标位于单位正方形中。一个启发式的评价值是其在8个固定实例上的平均回路长度。平均长度越小，表示在该实例集合上的表现越好；该数值不是相对于已知最优解的误差。</w:t>
      </w:r>
    </w:p>
    <w:p>
      <w:pPr>
        <w:pStyle w:val="Heading2"/>
      </w:pPr>
      <w:r>
        <w:t>2.2 容量约束车辆路径问题</w:t>
      </w:r>
    </w:p>
    <w:p>
      <w:pPr>
        <w:jc w:val="both"/>
      </w:pPr>
      <w:r>
        <w:rPr>
          <w:b w:val="0"/>
        </w:rPr>
        <w:t>设仓库为节点0，客户集合为 V，各客户需求为 qᵢ，车辆容量为 Q。所有路线均从仓库出发并返回仓库，每个客户恰好被服务一次，且单条路线服务的总需求不超过 Q。若 R 为路线集合，目标为</w:t>
      </w:r>
    </w:p>
    <w:p>
      <w:pPr>
        <w:spacing w:before="120" w:after="160" w:line="276" w:lineRule="auto"/>
        <w:ind w:firstLine="0"/>
        <w:jc w:val="center"/>
      </w:pPr>
      <m:oMathPara>
        <m:oMath>
          <m:limLow>
            <m:e>
              <m:r>
                <m:rPr>
                  <m:sty m:val="p"/>
                </m:rPr>
                <m:t>min</m:t>
              </m:r>
            </m:e>
            <m:lim>
              <m:r>
                <m:rPr>
                  <m:scr m:val="script"/>
                </m:rPr>
                <m:t>R</m:t>
              </m:r>
            </m:lim>
          </m:limLow>
          <m:r>
            <m:rPr>
              <m:nor/>
            </m:rPr>
            <m:t>  </m:t>
          </m:r>
          <m:nary>
            <m:naryPr>
              <m:chr m:val="∑"/>
              <m:limLoc m:val="undOvr"/>
              <m:grow m:val="1"/>
              <m:subHide m:val="off"/>
              <m:supHide m:val="on"/>
            </m:naryPr>
            <m:sub>
              <m:r>
                <m:t>r∈</m:t>
              </m:r>
              <m:r>
                <m:rPr>
                  <m:scr m:val="script"/>
                </m:rPr>
                <m:t>R</m:t>
              </m:r>
            </m:sub>
            <m:sup/>
            <m:e>
              <m:r>
                <m:rPr>
                  <m:nor/>
                </m:rPr>
                <m:t>  </m:t>
              </m:r>
            </m:e>
          </m:nary>
          <m:nary>
            <m:naryPr>
              <m:chr m:val="∑"/>
              <m:limLoc m:val="undOvr"/>
              <m:grow m:val="1"/>
              <m:subHide m:val="off"/>
              <m:supHide m:val="on"/>
            </m:naryPr>
            <m:sub>
              <m:r>
                <m:t>(i,j)∈r</m:t>
              </m:r>
            </m:sub>
            <m:sup/>
            <m:e>
              <m:r>
                <m:rPr>
                  <m:nor/>
                </m:rPr>
                <m:t> </m:t>
              </m:r>
            </m:e>
          </m:nary>
          <m:sSub>
            <m:e>
              <m:r>
                <m:t>d</m:t>
              </m:r>
            </m:e>
            <m:sub>
              <m:r>
                <m:t>ij</m:t>
              </m:r>
            </m:sub>
          </m:sSub>
          <m:r>
            <m:t>.</m:t>
          </m:r>
        </m:oMath>
      </m:oMathPara>
    </w:p>
    <w:p>
      <w:pPr>
        <w:jc w:val="both"/>
      </w:pPr>
      <w:r>
        <w:rPr>
          <w:b w:val="0"/>
        </w:rPr>
        <w:t>每条路线还必须满足容量约束</w:t>
      </w:r>
    </w:p>
    <w:p>
      <w:pPr>
        <w:spacing w:before="120" w:after="160" w:line="276" w:lineRule="auto"/>
        <w:ind w:firstLine="0"/>
        <w:jc w:val="center"/>
      </w:pPr>
      <m:oMathPara>
        <m:oMath>
          <m:nary>
            <m:naryPr>
              <m:chr m:val="∑"/>
              <m:limLoc m:val="undOvr"/>
              <m:grow m:val="1"/>
              <m:subHide m:val="off"/>
              <m:supHide m:val="on"/>
            </m:naryPr>
            <m:sub>
              <m:r>
                <m:t>i∈r∖{0}</m:t>
              </m:r>
            </m:sub>
            <m:sup/>
            <m:e>
              <m:r>
                <m:rPr>
                  <m:nor/>
                </m:rPr>
                <m:t> </m:t>
              </m:r>
            </m:e>
          </m:nary>
          <m:sSub>
            <m:e>
              <m:r>
                <m:t>q</m:t>
              </m:r>
            </m:e>
            <m:sub>
              <m:r>
                <m:t>i</m:t>
              </m:r>
            </m:sub>
          </m:sSub>
          <m:r>
            <m:t>≤Q.</m:t>
          </m:r>
        </m:oMath>
      </m:oMathPara>
    </w:p>
    <w:p>
      <w:pPr>
        <w:jc w:val="both"/>
      </w:pPr>
      <w:r>
        <w:rPr>
          <w:b w:val="0"/>
        </w:rPr>
        <w:t>实验采用50个客户、车辆容量40和16个固定实例。客户需求取1至9之间的整数，客户与仓库位置位于单位正方形中。局部规则在剩余容量允许的客户中选择下一服务对象，也可以决定提前返回仓库。其评价值是16个实例上的平均总行驶距离。</w:t>
      </w:r>
    </w:p>
    <w:p>
      <w:pPr>
        <w:jc w:val="both"/>
      </w:pPr>
      <w:r>
        <w:rPr>
          <w:b w:val="0"/>
        </w:rPr>
        <w:t>与旅行商问题相比，车辆路径问题的局部选择同时影响路线长度与客户分配。一项看似有利的短边选择，可能使远端客户被留给下一条路线，从而增加额外的往返距离。因此，仅凭“当前距离较短”不能充分解释规则的整体效果。</w:t>
      </w:r>
    </w:p>
    <w:p>
      <w:pPr>
        <w:pStyle w:val="Heading2"/>
      </w:pPr>
      <w:r>
        <w:t>2.3 在线装箱问题</w:t>
      </w:r>
    </w:p>
    <w:p>
      <w:pPr>
        <w:jc w:val="both"/>
      </w:pPr>
      <w:r>
        <w:rPr>
          <w:b w:val="0"/>
        </w:rPr>
        <w:t>设物品按既定顺序到达，第 t 个物品尺寸为 aₜ，箱容量为 C。每个物品到达后必须立即分配至某个可容纳它的箱中，已作出的分配不再撤销。目标是在处理完整个序列后，使使用的箱数 B 尽可能少。本实验箱容量为100，每个实例包含5000个物品，共使用5条历史固定的 Weibull 物品流。</w:t>
      </w:r>
    </w:p>
    <w:p>
      <w:pPr>
        <w:jc w:val="both"/>
      </w:pPr>
      <w:r>
        <w:rPr>
          <w:b w:val="0"/>
        </w:rPr>
        <w:t>对第 k 条物品流，记尺寸总和为 Sₖ。体积约束给出的整数下界为</w:t>
      </w:r>
    </w:p>
    <w:p>
      <w:pPr>
        <w:spacing w:before="120" w:after="160" w:line="276" w:lineRule="auto"/>
        <w:ind w:firstLine="0"/>
        <w:jc w:val="center"/>
      </w:pPr>
      <m:oMathPara>
        <m:oMath>
          <m:sSub>
            <m:e>
              <m:r>
                <m:t>L</m:t>
              </m:r>
            </m:e>
            <m:sub>
              <m:r>
                <m:t>k</m:t>
              </m:r>
            </m:sub>
          </m:sSub>
          <m:r>
            <m:t>=</m:t>
          </m:r>
          <m:d>
            <m:dPr>
              <m:begChr m:val="⌈"/>
              <m:sepChr m:val=""/>
              <m:endChr m:val="⌉"/>
            </m:dPr>
            <m:e>
              <m:f>
                <m:fPr>
                  <m:type m:val="bar"/>
                </m:fPr>
                <m:num>
                  <m:sSub>
                    <m:e>
                      <m:r>
                        <m:t>S</m:t>
                      </m:r>
                    </m:e>
                    <m:sub>
                      <m:r>
                        <m:t>k</m:t>
                      </m:r>
                    </m:sub>
                  </m:sSub>
                </m:num>
                <m:den>
                  <m:r>
                    <m:t>C</m:t>
                  </m:r>
                </m:den>
              </m:f>
            </m:e>
          </m:d>
          <m:r>
            <m:t>.</m:t>
          </m:r>
        </m:oMath>
      </m:oMathPara>
    </w:p>
    <w:p>
      <w:pPr>
        <w:jc w:val="both"/>
      </w:pPr>
      <w:r>
        <w:rPr>
          <w:b w:val="0"/>
        </w:rPr>
        <w:t>该下界只考虑总体积，不保证能够被实际装箱方案达到。由于每个已用箱的容量不超过 C，任意可行方案都满足 Bₖ≥Lₖ，但一般不能据此认定 Lₖ 就是最优箱数。</w:t>
      </w:r>
    </w:p>
    <w:p>
      <w:pPr>
        <w:jc w:val="both"/>
      </w:pPr>
      <w:r>
        <w:rPr>
          <w:b w:val="0"/>
        </w:rPr>
        <w:t>实验采用平均箱数相对于平均下界的超额率，记为</w:t>
      </w:r>
    </w:p>
    <w:p>
      <w:pPr>
        <w:spacing w:before="120" w:after="160" w:line="276" w:lineRule="auto"/>
        <w:ind w:firstLine="0"/>
        <w:jc w:val="center"/>
      </w:pPr>
      <m:oMathPara>
        <m:oMath>
          <m:r>
            <m:t>E=</m:t>
          </m:r>
          <m:f>
            <m:fPr>
              <m:type m:val="bar"/>
            </m:fPr>
            <m:num>
              <m:acc>
                <m:accPr>
                  <m:chr m:val="̅"/>
                </m:accPr>
                <m:e>
                  <m:r>
                    <m:t>B</m:t>
                  </m:r>
                </m:e>
              </m:acc>
              <m:r>
                <m:t>−</m:t>
              </m:r>
              <m:acc>
                <m:accPr>
                  <m:chr m:val="̅"/>
                </m:accPr>
                <m:e>
                  <m:r>
                    <m:t>L</m:t>
                  </m:r>
                </m:e>
              </m:acc>
            </m:num>
            <m:den>
              <m:acc>
                <m:accPr>
                  <m:chr m:val="̅"/>
                </m:accPr>
                <m:e>
                  <m:r>
                    <m:t>L</m:t>
                  </m:r>
                </m:e>
              </m:acc>
            </m:den>
          </m:f>
          <m:r>
            <m:t>=</m:t>
          </m:r>
          <m:f>
            <m:fPr>
              <m:type m:val="bar"/>
            </m:fPr>
            <m:num>
              <m:nary>
                <m:naryPr>
                  <m:chr m:val="∑"/>
                  <m:limLoc m:val="undOvr"/>
                  <m:grow m:val="1"/>
                  <m:subHide m:val="off"/>
                  <m:supHide m:val="off"/>
                </m:naryPr>
                <m:sub>
                  <m:r>
                    <m:t>k=1</m:t>
                  </m:r>
                </m:sub>
                <m:sup>
                  <m:r>
                    <m:t>5</m:t>
                  </m:r>
                </m:sup>
                <m:e>
                  <m:r>
                    <m:rPr>
                      <m:nor/>
                    </m:rPr>
                    <m:t> </m:t>
                  </m:r>
                  <m:r>
                    <m:t>(</m:t>
                  </m:r>
                </m:e>
              </m:nary>
              <m:sSub>
                <m:e>
                  <m:r>
                    <m:t>B</m:t>
                  </m:r>
                </m:e>
                <m:sub>
                  <m:r>
                    <m:t>k</m:t>
                  </m:r>
                </m:sub>
              </m:sSub>
              <m:r>
                <m:t>−</m:t>
              </m:r>
              <m:sSub>
                <m:e>
                  <m:r>
                    <m:t>L</m:t>
                  </m:r>
                </m:e>
                <m:sub>
                  <m:r>
                    <m:t>k</m:t>
                  </m:r>
                </m:sub>
              </m:sSub>
              <m:r>
                <m:t>)</m:t>
              </m:r>
            </m:num>
            <m:den>
              <m:nary>
                <m:naryPr>
                  <m:chr m:val="∑"/>
                  <m:limLoc m:val="undOvr"/>
                  <m:grow m:val="1"/>
                  <m:subHide m:val="off"/>
                  <m:supHide m:val="off"/>
                </m:naryPr>
                <m:sub>
                  <m:r>
                    <m:t>k=1</m:t>
                  </m:r>
                </m:sub>
                <m:sup>
                  <m:r>
                    <m:t>5</m:t>
                  </m:r>
                </m:sup>
                <m:e>
                  <m:r>
                    <m:rPr>
                      <m:nor/>
                    </m:rPr>
                    <m:t> </m:t>
                  </m:r>
                </m:e>
              </m:nary>
              <m:sSub>
                <m:e>
                  <m:r>
                    <m:t>L</m:t>
                  </m:r>
                </m:e>
                <m:sub>
                  <m:r>
                    <m:t>k</m:t>
                  </m:r>
                </m:sub>
              </m:sSub>
            </m:den>
          </m:f>
          <m:r>
            <m:t>.</m:t>
          </m:r>
        </m:oMath>
      </m:oMathPara>
    </w:p>
    <w:p>
      <w:pPr>
        <w:jc w:val="both"/>
      </w:pPr>
      <w:r>
        <w:rPr>
          <w:b w:val="0"/>
        </w:rPr>
        <w:t>该定义一般不等于五个单实例相对误差的算术平均。因此，重新比较时必须保留同一聚合口径。E 越小，表示平均使用箱数越接近体积下界，但不能直接据此推断相对于最优解的近似比。</w:t>
      </w:r>
    </w:p>
    <w:p>
      <w:pPr>
        <w:jc w:val="both"/>
      </w:pPr>
      <w:r>
        <w:rPr>
          <w:b w:val="0"/>
        </w:rPr>
        <w:t>局部评分以当前物品尺寸 a 和候选箱剩余容量 b 为输入，选择评分最高的可行箱；放置后的剩余容量记为 r=b−a。可行选择包括已有箱和可新启用的空箱。允许比较空箱意味着规则能够在“继续填充已有箱”与“为后续物品保留某种剩余空间”之间作出选择。</w:t>
      </w:r>
    </w:p>
    <w:p>
      <w:pPr>
        <w:pStyle w:val="Heading2"/>
      </w:pPr>
      <w:r>
        <w:t>2.4 启发式搜索的统一表述</w:t>
      </w:r>
    </w:p>
    <w:p>
      <w:pPr>
        <w:jc w:val="both"/>
      </w:pPr>
      <w:r>
        <w:rPr>
          <w:b w:val="0"/>
        </w:rPr>
        <w:t>设 D 为某类问题的固定实例集合，H 为允许搜索的启发式规则集合，</w:t>
      </w:r>
      <m:oMath>
        <m:sSub>
          <m:e>
            <m:r>
              <m:t>F</m:t>
            </m:r>
          </m:e>
          <m:sub>
            <m:r>
              <m:t>D</m:t>
            </m:r>
          </m:sub>
        </m:sSub>
        <m:r>
          <m:t>(h)</m:t>
        </m:r>
      </m:oMath>
      <w:r>
        <w:rPr>
          <w:b w:val="0"/>
        </w:rPr>
        <w:t xml:space="preserve"> 为规则 h 在 D 上的评价值。外层搜索问题可写为</w:t>
      </w:r>
    </w:p>
    <w:p>
      <w:pPr>
        <w:spacing w:before="120" w:after="160" w:line="276" w:lineRule="auto"/>
        <w:ind w:firstLine="0"/>
        <w:jc w:val="center"/>
      </w:pPr>
      <m:oMathPara>
        <m:oMath>
          <m:limLow>
            <m:e>
              <m:r>
                <m:rPr>
                  <m:sty m:val="p"/>
                </m:rPr>
                <m:t>min</m:t>
              </m:r>
            </m:e>
            <m:lim>
              <m:r>
                <m:t>h∈</m:t>
              </m:r>
              <m:r>
                <m:rPr>
                  <m:scr m:val="script"/>
                </m:rPr>
                <m:t>H</m:t>
              </m:r>
            </m:lim>
          </m:limLow>
          <m:r>
            <m:rPr>
              <m:nor/>
            </m:rPr>
            <m:t> </m:t>
          </m:r>
          <m:sSub>
            <m:e>
              <m:r>
                <m:t>F</m:t>
              </m:r>
            </m:e>
            <m:sub>
              <m:r>
                <m:t>D</m:t>
              </m:r>
            </m:sub>
          </m:sSub>
          <m:r>
            <m:t>(h).</m:t>
          </m:r>
        </m:oMath>
      </m:oMathPara>
    </w:p>
    <w:p>
      <w:pPr>
        <w:jc w:val="both"/>
      </w:pPr>
      <w:r>
        <w:rPr>
          <w:b w:val="0"/>
        </w:rPr>
        <w:t>这里的决策对象是启发式规则，而不是某个实例的单个解。旅行商和车辆路径问题搜索“下一节点如何选择”，在线装箱问题搜索“可行箱如何排序”。候选规则必须先形成可评价的结果，其目标值才进入质量统计。</w:t>
      </w:r>
    </w:p>
    <w:p>
      <w:pPr>
        <w:jc w:val="both"/>
      </w:pPr>
      <w:r>
        <w:rPr>
          <w:b w:val="0"/>
        </w:rPr>
        <w:t>需要强调，固定实例上的反复优化会使 D 同时承担适应度反馈与规则选择的作用。本文因此将这些实例视为已暴露的研究实例，不将其上的最优结果表述为独立测试成绩。</w:t>
      </w:r>
    </w:p>
    <w:p>
      <w:pPr>
        <w:pStyle w:val="Heading1"/>
      </w:pPr>
      <w:r>
        <w:t>3 实验方法与比较条件</w:t>
      </w:r>
    </w:p>
    <w:p>
      <w:pPr>
        <w:pStyle w:val="Heading2"/>
      </w:pPr>
      <w:r>
        <w:t>3.1 多岛搜索与历史策略共享</w:t>
      </w:r>
    </w:p>
    <w:p>
      <w:pPr>
        <w:jc w:val="both"/>
      </w:pPr>
      <w:r>
        <w:rPr>
          <w:b w:val="0"/>
        </w:rPr>
        <w:t>实验设置5个采用8代搜索的岛和3个采用16代搜索的岛，名义种群规模均为6。候选生成模型为 DeepSeek V4 Flash。各岛围绕当前种群开展搜索，并可以利用共享的优良策略与历史评测信息。模型每次生成候选时获得两条检索到的策略提示，使搜索同时受到当前父代和历史经验的影响。</w:t>
      </w:r>
    </w:p>
    <w:p>
      <w:pPr>
        <w:jc w:val="both"/>
      </w:pPr>
      <w:r>
        <w:rPr>
          <w:b w:val="0"/>
        </w:rPr>
        <w:t>多岛设置的动机是容许不同子种群沿不同方向探索；共享历史则使已经出现的有效规则有机会被后续搜索利用。这一机制也使运行之间存在信息依赖。后到的运行并非与先前运行处在完全相同的知识状态，因而不能将所有终点值视为来自同一条件下的独立同分布样本。</w:t>
      </w:r>
    </w:p>
    <w:p>
      <w:pPr>
        <w:jc w:val="both"/>
      </w:pPr>
      <w:r>
        <w:rPr>
          <w:b w:val="0"/>
        </w:rPr>
        <w:t>在进化方式上，实验包含四类操作：生成与既有父代形态不同的规则；提炼多个父代的共同结构并形成新规则；对单个父代作结构修改；调整既有规则的主要数值参数。它们分别对应扩大结构探索范围、重组已有知识、改变局部机制和细化参数。实验记录支持分析这些操作共同作用下的结果，但未设置逐一移除某种操作的独立对照。</w:t>
      </w:r>
    </w:p>
    <w:p>
      <w:pPr>
        <w:pStyle w:val="Heading2"/>
      </w:pPr>
      <w:r>
        <w:t>3.2 实验规模与有效结果</w:t>
      </w:r>
    </w:p>
    <w:p>
      <w:pPr>
        <w:jc w:val="both"/>
      </w:pPr>
      <w:r>
        <w:rPr>
          <w:b w:val="0"/>
        </w:rPr>
        <w:t>原始资料记录了631次启动，其中605次获得有效终点结果。26次未完成记录全部来自在线装箱问题，未形成有效初始种群。它们不具有可与已完成运行比较的终点目标值，因此不以任意高分、零分或缺省分数补入质量分布；同时，它们必须计入实验完成率。</w:t>
      </w:r>
    </w:p>
    <w:p>
      <w:pPr>
        <w:pStyle w:val="Caption"/>
        <w:keepNext/>
        <w:jc w:val="center"/>
      </w:pPr>
      <w:r>
        <w:rPr>
          <w:b/>
        </w:rPr>
        <w:t>表1 实验规模与实例设置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247"/>
        <w:gridCol w:w="1417"/>
        <w:gridCol w:w="1531"/>
        <w:gridCol w:w="1531"/>
        <w:gridCol w:w="1928"/>
      </w:tblGrid>
      <w:tr>
        <w:trPr>
          <w:cantSplit/>
          <w:tblHeader/>
        </w:trPr>
        <w:tc>
          <w:tcPr>
            <w:tcW w:type="dxa" w:w="1304"/>
            <w:vAlign w:val="center"/>
            <w:tcMar>
              <w:top w:w="80" w:type="dxa"/>
              <w:left w:w="80" w:type="dxa"/>
              <w:bottom w:w="80" w:type="dxa"/>
              <w:right w:w="80" w:type="dxa"/>
            </w:tcMar>
            <w:shd w:fill="F1F1F1"/>
          </w:tcPr>
          <w:p>
            <w:pPr>
              <w:keepNext/>
              <w:spacing w:line="276" w:lineRule="auto" w:before="0" w:after="0"/>
              <w:ind w:firstLine="0"/>
              <w:jc w:val="center"/>
            </w:pPr>
            <w:r>
              <w:rPr>
                <w:b/>
                <w:sz w:val="19"/>
              </w:rPr>
              <w:t>问题</w:t>
            </w:r>
          </w:p>
        </w:tc>
        <w:tc>
          <w:tcPr>
            <w:tcW w:type="dxa" w:w="1247"/>
            <w:vAlign w:val="center"/>
            <w:tcMar>
              <w:top w:w="80" w:type="dxa"/>
              <w:left w:w="80" w:type="dxa"/>
              <w:bottom w:w="80" w:type="dxa"/>
              <w:right w:w="80" w:type="dxa"/>
            </w:tcMar>
            <w:shd w:fill="F1F1F1"/>
          </w:tcPr>
          <w:p>
            <w:pPr>
              <w:keepNext/>
              <w:spacing w:line="276" w:lineRule="auto" w:before="0" w:after="0"/>
              <w:ind w:firstLine="0"/>
              <w:jc w:val="center"/>
            </w:pPr>
            <w:r>
              <w:rPr>
                <w:b/>
                <w:sz w:val="19"/>
              </w:rPr>
              <w:t>单实例规模</w:t>
            </w:r>
          </w:p>
        </w:tc>
        <w:tc>
          <w:tcPr>
            <w:tcW w:type="dxa" w:w="1417"/>
            <w:vAlign w:val="center"/>
            <w:tcMar>
              <w:top w:w="80" w:type="dxa"/>
              <w:left w:w="80" w:type="dxa"/>
              <w:bottom w:w="80" w:type="dxa"/>
              <w:right w:w="80" w:type="dxa"/>
            </w:tcMar>
            <w:shd w:fill="F1F1F1"/>
          </w:tcPr>
          <w:p>
            <w:pPr>
              <w:keepNext/>
              <w:spacing w:line="276" w:lineRule="auto" w:before="0" w:after="0"/>
              <w:ind w:firstLine="0"/>
              <w:jc w:val="center"/>
            </w:pPr>
            <w:r>
              <w:rPr>
                <w:b/>
                <w:sz w:val="19"/>
              </w:rPr>
              <w:t>实例数</w:t>
            </w:r>
          </w:p>
        </w:tc>
        <w:tc>
          <w:tcPr>
            <w:tcW w:type="dxa" w:w="1531"/>
            <w:vAlign w:val="center"/>
            <w:tcMar>
              <w:top w:w="80" w:type="dxa"/>
              <w:left w:w="80" w:type="dxa"/>
              <w:bottom w:w="80" w:type="dxa"/>
              <w:right w:w="80" w:type="dxa"/>
            </w:tcMar>
            <w:shd w:fill="F1F1F1"/>
          </w:tcPr>
          <w:p>
            <w:pPr>
              <w:keepNext/>
              <w:spacing w:line="276" w:lineRule="auto" w:before="0" w:after="0"/>
              <w:ind w:firstLine="0"/>
              <w:jc w:val="center"/>
            </w:pPr>
            <w:r>
              <w:rPr>
                <w:b/>
                <w:sz w:val="19"/>
              </w:rPr>
              <w:t>启动次数</w:t>
            </w:r>
          </w:p>
        </w:tc>
        <w:tc>
          <w:tcPr>
            <w:tcW w:type="dxa" w:w="1531"/>
            <w:vAlign w:val="center"/>
            <w:tcMar>
              <w:top w:w="80" w:type="dxa"/>
              <w:left w:w="80" w:type="dxa"/>
              <w:bottom w:w="80" w:type="dxa"/>
              <w:right w:w="80" w:type="dxa"/>
            </w:tcMar>
            <w:shd w:fill="F1F1F1"/>
          </w:tcPr>
          <w:p>
            <w:pPr>
              <w:keepNext/>
              <w:spacing w:line="276" w:lineRule="auto" w:before="0" w:after="0"/>
              <w:ind w:firstLine="0"/>
              <w:jc w:val="center"/>
            </w:pPr>
            <w:r>
              <w:rPr>
                <w:b/>
                <w:sz w:val="19"/>
              </w:rPr>
              <w:t>有效结果</w:t>
            </w:r>
          </w:p>
        </w:tc>
        <w:tc>
          <w:tcPr>
            <w:tcW w:type="dxa" w:w="1928"/>
            <w:vAlign w:val="center"/>
            <w:tcMar>
              <w:top w:w="80" w:type="dxa"/>
              <w:left w:w="80" w:type="dxa"/>
              <w:bottom w:w="80" w:type="dxa"/>
              <w:right w:w="80" w:type="dxa"/>
            </w:tcMar>
            <w:shd w:fill="F1F1F1"/>
          </w:tcPr>
          <w:p>
            <w:pPr>
              <w:keepNext/>
              <w:spacing w:line="276" w:lineRule="auto" w:before="0" w:after="0"/>
              <w:ind w:firstLine="0"/>
              <w:jc w:val="center"/>
            </w:pPr>
            <w:r>
              <w:rPr>
                <w:b/>
                <w:sz w:val="19"/>
              </w:rPr>
              <w:t>未形成有效初始种群</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旅行商</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50个城市</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8</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206</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206</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0</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容量约束车辆路径</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50个客户，容量40</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16</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207</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207</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0</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在线装箱</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5000个物品，容量100</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5</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218</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192</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26</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合计</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631</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605</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26</w:t>
            </w:r>
          </w:p>
        </w:tc>
      </w:tr>
    </w:tbl>
    <w:p>
      <w:pPr>
        <w:spacing w:after="0"/>
      </w:pPr>
    </w:p>
    <w:p>
      <w:pPr>
        <w:jc w:val="both"/>
      </w:pPr>
      <w:r>
        <w:rPr>
          <w:b w:val="0"/>
        </w:rPr>
        <w:t>总体完成比例为95.88%，装箱实验为88.07%。这里的完成比例描述已记录启动的结果，不是候选规则的有效率，也不是未来一次实验成功的概率估计。有效的605次运行均保留了从初始代到终止代的记录，终止代最优值与汇总结果一致。</w:t>
      </w:r>
    </w:p>
    <w:p>
      <w:pPr>
        <w:pStyle w:val="Heading2"/>
      </w:pPr>
      <w:r>
        <w:t>3.3 历史参考值及其解释</w:t>
      </w:r>
    </w:p>
    <w:p>
      <w:pPr>
        <w:jc w:val="both"/>
      </w:pPr>
      <w:r>
        <w:rPr>
          <w:b w:val="0"/>
        </w:rPr>
        <w:t>为保持与原阶段总结一致，本文沿用三个冻结参考值：旅行商6.560、车辆路径13.519、在线装箱0.0398。这些值来自早期未使用检索增强的纯进化组的中位数，属于历史比较参照，不是三类问题的理论最优值，也不能一概称为经典人工启发式的成绩。</w:t>
      </w:r>
    </w:p>
    <w:p>
      <w:pPr>
        <w:jc w:val="both"/>
      </w:pPr>
      <w:r>
        <w:rPr>
          <w:b w:val="0"/>
        </w:rPr>
        <w:t>早期参照实验采用4代、种群规模4；当前批次采用8代或16代、种群规模6。旅行商与车辆路径的早期参照还使用了不同的候选生成模型。因此，当前结果与历史参考之间的差异混合了搜索预算、生成模型、知识供给与多岛信息共享等因素。本文只据此说明相对于历史起点的数值进展，不将差异单独归因于检索、多岛结构或大语言模型的某一能力。</w:t>
      </w:r>
    </w:p>
    <w:p>
      <w:pPr>
        <w:jc w:val="both"/>
      </w:pPr>
      <w:r>
        <w:rPr>
          <w:b w:val="0"/>
        </w:rPr>
        <w:t>对最小化目标 f 和冻结参考值 b，定义相对改善率</w:t>
      </w:r>
    </w:p>
    <w:p>
      <w:pPr>
        <w:spacing w:before="120" w:after="160" w:line="276" w:lineRule="auto"/>
        <w:ind w:firstLine="0"/>
        <w:jc w:val="center"/>
      </w:pPr>
      <m:oMathPara>
        <m:oMath>
          <m:r>
            <m:t>I(f;b)=100%×</m:t>
          </m:r>
          <m:f>
            <m:fPr>
              <m:type m:val="bar"/>
            </m:fPr>
            <m:num>
              <m:r>
                <m:t>b−f</m:t>
              </m:r>
            </m:num>
            <m:den>
              <m:r>
                <m:t>b</m:t>
              </m:r>
            </m:den>
          </m:f>
          <m:r>
            <m:t>.</m:t>
          </m:r>
        </m:oMath>
      </m:oMathPara>
    </w:p>
    <w:p>
      <w:pPr>
        <w:jc w:val="both"/>
      </w:pPr>
      <w:r>
        <w:rPr>
          <w:b w:val="0"/>
        </w:rPr>
        <w:t>I 为正表示目标值低于参考。文中的5%阈值严格对应 f&lt;0.95b。历史参考经过舍入，尤其装箱参照0.0398与早期记录中的0.03984并不完全相同。因此，接近零的装箱改善率不宜解释成实质退化；本文不借助这一微小精度差异强化结论。</w:t>
      </w:r>
    </w:p>
    <w:p>
      <w:pPr>
        <w:pStyle w:val="Heading2"/>
      </w:pPr>
      <w:r>
        <w:t>3.4 统计分析原则</w:t>
      </w:r>
    </w:p>
    <w:p>
      <w:pPr>
        <w:jc w:val="both"/>
      </w:pPr>
      <w:r>
        <w:rPr>
          <w:b w:val="0"/>
        </w:rPr>
        <w:t>统计单位是“一次有效运行的终点最优值”，不是种群中的每个候选，也不是一个问题实例。对每类问题分别报告均值、中位数、样本标准差、四分位数、最优值和改善阈值比例。标准差仅描述该批历史结果的离散程度，不换算为独立重复假设下的标准误，也不据此报告置信区间或显著性检验。</w:t>
      </w:r>
    </w:p>
    <w:p>
      <w:pPr>
        <w:jc w:val="both"/>
      </w:pPr>
      <w:r>
        <w:rPr>
          <w:b w:val="0"/>
        </w:rPr>
        <w:t>分位数采用有序样本位置上的线性插值。单次目标值继承归档记录的五位小数精度；均值、中位数和四分位数出现更多小数位，是统计计算的结果，并不意味着原始评测精度增加。对8代与16代结果，除分别描述终点分布外，还在同一条16代轨迹内比较第8代和第16代，避免完全依赖不同批次之间的横向差异。</w:t>
      </w:r>
    </w:p>
    <w:p>
      <w:pPr>
        <w:pStyle w:val="Heading1"/>
      </w:pPr>
      <w:r>
        <w:t>4 总体结果与分布特征</w:t>
      </w:r>
    </w:p>
    <w:p>
      <w:pPr>
        <w:pStyle w:val="Heading2"/>
      </w:pPr>
      <w:r>
        <w:t>4.1 终点目标的整体分布</w:t>
      </w:r>
    </w:p>
    <w:p>
      <w:pPr>
        <w:pStyle w:val="Caption"/>
        <w:keepNext/>
        <w:jc w:val="center"/>
      </w:pPr>
      <w:r>
        <w:rPr>
          <w:b/>
        </w:rPr>
        <w:t>表2 605次有效运行的终点目标分布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0"/>
        <w:gridCol w:w="1120"/>
        <w:gridCol w:w="1120"/>
        <w:gridCol w:w="1120"/>
        <w:gridCol w:w="1120"/>
        <w:gridCol w:w="1120"/>
        <w:gridCol w:w="1120"/>
        <w:gridCol w:w="1120"/>
      </w:tblGrid>
      <w:tr>
        <w:trPr>
          <w:cantSplit/>
          <w:tblHeader/>
        </w:trPr>
        <w:tc>
          <w:tcPr>
            <w:tcW w:type="dxa" w:w="1120"/>
            <w:vAlign w:val="center"/>
            <w:tcMar>
              <w:top w:w="80" w:type="dxa"/>
              <w:left w:w="80" w:type="dxa"/>
              <w:bottom w:w="80" w:type="dxa"/>
              <w:right w:w="80" w:type="dxa"/>
            </w:tcMar>
            <w:shd w:fill="F1F1F1"/>
          </w:tcPr>
          <w:p>
            <w:pPr>
              <w:keepNext/>
              <w:spacing w:line="276" w:lineRule="auto" w:before="0" w:after="0"/>
              <w:ind w:firstLine="0"/>
              <w:jc w:val="center"/>
            </w:pPr>
            <w:r>
              <w:rPr>
                <w:b/>
                <w:sz w:val="19"/>
              </w:rPr>
              <w:t>问题</w:t>
            </w:r>
          </w:p>
        </w:tc>
        <w:tc>
          <w:tcPr>
            <w:tcW w:type="dxa" w:w="1120"/>
            <w:vAlign w:val="center"/>
            <w:tcMar>
              <w:top w:w="80" w:type="dxa"/>
              <w:left w:w="80" w:type="dxa"/>
              <w:bottom w:w="80" w:type="dxa"/>
              <w:right w:w="80" w:type="dxa"/>
            </w:tcMar>
            <w:shd w:fill="F1F1F1"/>
          </w:tcPr>
          <w:p>
            <w:pPr>
              <w:keepNext/>
              <w:spacing w:line="276" w:lineRule="auto" w:before="0" w:after="0"/>
              <w:ind w:firstLine="0"/>
              <w:jc w:val="center"/>
            </w:pPr>
            <w:r>
              <w:rPr>
                <w:b/>
                <w:sz w:val="19"/>
              </w:rPr>
              <w:t>样本数</w:t>
            </w:r>
          </w:p>
        </w:tc>
        <w:tc>
          <w:tcPr>
            <w:tcW w:type="dxa" w:w="1120"/>
            <w:vAlign w:val="center"/>
            <w:tcMar>
              <w:top w:w="80" w:type="dxa"/>
              <w:left w:w="80" w:type="dxa"/>
              <w:bottom w:w="80" w:type="dxa"/>
              <w:right w:w="80" w:type="dxa"/>
            </w:tcMar>
            <w:shd w:fill="F1F1F1"/>
          </w:tcPr>
          <w:p>
            <w:pPr>
              <w:keepNext/>
              <w:spacing w:line="276" w:lineRule="auto" w:before="0" w:after="0"/>
              <w:ind w:firstLine="0"/>
              <w:jc w:val="center"/>
            </w:pPr>
            <w:r>
              <w:rPr>
                <w:b/>
                <w:sz w:val="19"/>
              </w:rPr>
              <w:t>最优值</w:t>
            </w:r>
          </w:p>
        </w:tc>
        <w:tc>
          <w:tcPr>
            <w:tcW w:type="dxa" w:w="1120"/>
            <w:vAlign w:val="center"/>
            <w:tcMar>
              <w:top w:w="80" w:type="dxa"/>
              <w:left w:w="80" w:type="dxa"/>
              <w:bottom w:w="80" w:type="dxa"/>
              <w:right w:w="80" w:type="dxa"/>
            </w:tcMar>
            <w:shd w:fill="F1F1F1"/>
          </w:tcPr>
          <w:p>
            <w:pPr>
              <w:keepNext/>
              <w:spacing w:line="276" w:lineRule="auto" w:before="0" w:after="0"/>
              <w:ind w:firstLine="0"/>
              <w:jc w:val="center"/>
            </w:pPr>
            <w:r>
              <w:rPr>
                <w:b/>
                <w:sz w:val="19"/>
              </w:rPr>
              <w:t>均值</w:t>
            </w:r>
          </w:p>
        </w:tc>
        <w:tc>
          <w:tcPr>
            <w:tcW w:type="dxa" w:w="1120"/>
            <w:vAlign w:val="center"/>
            <w:tcMar>
              <w:top w:w="80" w:type="dxa"/>
              <w:left w:w="80" w:type="dxa"/>
              <w:bottom w:w="80" w:type="dxa"/>
              <w:right w:w="80" w:type="dxa"/>
            </w:tcMar>
            <w:shd w:fill="F1F1F1"/>
          </w:tcPr>
          <w:p>
            <w:pPr>
              <w:keepNext/>
              <w:spacing w:line="276" w:lineRule="auto" w:before="0" w:after="0"/>
              <w:ind w:firstLine="0"/>
              <w:jc w:val="center"/>
            </w:pPr>
            <w:r>
              <w:rPr>
                <w:b/>
                <w:sz w:val="19"/>
              </w:rPr>
              <w:t>中位数</w:t>
            </w:r>
          </w:p>
        </w:tc>
        <w:tc>
          <w:tcPr>
            <w:tcW w:type="dxa" w:w="1120"/>
            <w:vAlign w:val="center"/>
            <w:tcMar>
              <w:top w:w="80" w:type="dxa"/>
              <w:left w:w="80" w:type="dxa"/>
              <w:bottom w:w="80" w:type="dxa"/>
              <w:right w:w="80" w:type="dxa"/>
            </w:tcMar>
            <w:shd w:fill="F1F1F1"/>
          </w:tcPr>
          <w:p>
            <w:pPr>
              <w:keepNext/>
              <w:spacing w:line="276" w:lineRule="auto" w:before="0" w:after="0"/>
              <w:ind w:firstLine="0"/>
              <w:jc w:val="center"/>
            </w:pPr>
            <w:r>
              <w:rPr>
                <w:b/>
                <w:sz w:val="19"/>
              </w:rPr>
              <w:t>样本标准差</w:t>
            </w:r>
          </w:p>
        </w:tc>
        <w:tc>
          <w:tcPr>
            <w:tcW w:type="dxa" w:w="1120"/>
            <w:vAlign w:val="center"/>
            <w:tcMar>
              <w:top w:w="80" w:type="dxa"/>
              <w:left w:w="80" w:type="dxa"/>
              <w:bottom w:w="80" w:type="dxa"/>
              <w:right w:w="80" w:type="dxa"/>
            </w:tcMar>
            <w:shd w:fill="F1F1F1"/>
          </w:tcPr>
          <w:p>
            <w:pPr>
              <w:keepNext/>
              <w:spacing w:line="276" w:lineRule="auto" w:before="0" w:after="0"/>
              <w:ind w:firstLine="0"/>
              <w:jc w:val="center"/>
            </w:pPr>
            <w:r>
              <w:rPr>
                <w:b/>
                <w:sz w:val="19"/>
              </w:rPr>
              <w:t>第一四分位数</w:t>
            </w:r>
          </w:p>
        </w:tc>
        <w:tc>
          <w:tcPr>
            <w:tcW w:type="dxa" w:w="1120"/>
            <w:vAlign w:val="center"/>
            <w:tcMar>
              <w:top w:w="80" w:type="dxa"/>
              <w:left w:w="80" w:type="dxa"/>
              <w:bottom w:w="80" w:type="dxa"/>
              <w:right w:w="80" w:type="dxa"/>
            </w:tcMar>
            <w:shd w:fill="F1F1F1"/>
          </w:tcPr>
          <w:p>
            <w:pPr>
              <w:keepNext/>
              <w:spacing w:line="276" w:lineRule="auto" w:before="0" w:after="0"/>
              <w:ind w:firstLine="0"/>
              <w:jc w:val="center"/>
            </w:pPr>
            <w:r>
              <w:rPr>
                <w:b/>
                <w:sz w:val="19"/>
              </w:rPr>
              <w:t>第三四分位数</w:t>
            </w:r>
          </w:p>
        </w:tc>
      </w:tr>
      <w:tr>
        <w:trPr>
          <w:cantSplit/>
        </w:trPr>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旅行商</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206</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6.00393</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6.243657</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6.212865</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0.116923</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6.155078</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6.313690</w:t>
            </w:r>
          </w:p>
        </w:tc>
      </w:tr>
      <w:tr>
        <w:trPr>
          <w:cantSplit/>
        </w:trPr>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车辆路径</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207</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12.35639</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12.864044</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12.858850</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0.204310</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12.734370</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12.980615</w:t>
            </w:r>
          </w:p>
        </w:tc>
      </w:tr>
      <w:tr>
        <w:trPr>
          <w:cantSplit/>
        </w:trPr>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在线装箱</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192</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0.00674</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0.030943</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0.036875</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0.010311</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0.023698</w:t>
            </w:r>
          </w:p>
        </w:tc>
        <w:tc>
          <w:tcPr>
            <w:tcW w:type="dxa" w:w="1120"/>
            <w:vAlign w:val="center"/>
            <w:tcMar>
              <w:top w:w="80" w:type="dxa"/>
              <w:left w:w="80" w:type="dxa"/>
              <w:bottom w:w="80" w:type="dxa"/>
              <w:right w:w="80" w:type="dxa"/>
            </w:tcMar>
          </w:tcPr>
          <w:p>
            <w:pPr>
              <w:spacing w:line="276" w:lineRule="auto" w:before="0" w:after="0"/>
              <w:ind w:firstLine="0"/>
              <w:jc w:val="center"/>
            </w:pPr>
            <w:r>
              <w:rPr>
                <w:b w:val="0"/>
                <w:sz w:val="19"/>
              </w:rPr>
              <w:t>0.038840</w:t>
            </w:r>
          </w:p>
        </w:tc>
      </w:tr>
    </w:tbl>
    <w:p>
      <w:pPr>
        <w:spacing w:after="0"/>
      </w:pPr>
    </w:p>
    <w:p>
      <w:pPr>
        <w:jc w:val="both"/>
      </w:pPr>
      <w:r>
        <w:rPr>
          <w:b w:val="0"/>
        </w:rPr>
        <w:t>旅行商和车辆路径的均值与中位数较接近，说明典型结果与总体平均结果之间的差异相对有限。旅行商中间50%的结果落在6.155078至6.313690之间，车辆路径对应区间为12.734370至12.980615。两类问题的典型终点均优于历史参考，但最优结果仍好于中位数，不能将最好一次运行的改善率视作重复运行的典型水平。</w:t>
      </w:r>
    </w:p>
    <w:p>
      <w:pPr>
        <w:jc w:val="both"/>
      </w:pPr>
      <w:r>
        <w:rPr>
          <w:b w:val="0"/>
        </w:rPr>
        <w:t>在线装箱的情况不同。其均值0.030943明显低于中位数0.036875，最优值0.00674又远低于两者，说明少数较强结果对平均值具有较大影响。该分布不宜概括为“每次运行均获得约83%的改善”。更合适的描述是：典型结果的超额率有一定下降，同时搜索发现了少量远优于典型水平的规则。</w:t>
      </w:r>
    </w:p>
    <w:p>
      <w:pPr>
        <w:pStyle w:val="Heading2"/>
      </w:pPr>
      <w:r>
        <w:t>4.2 改善比例与达标情况</w:t>
      </w:r>
    </w:p>
    <w:p>
      <w:pPr>
        <w:pStyle w:val="Caption"/>
        <w:keepNext/>
        <w:jc w:val="center"/>
      </w:pPr>
      <w:r>
        <w:rPr>
          <w:b/>
        </w:rPr>
        <w:t>表3 相对于历史参考的改善表现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247"/>
        <w:gridCol w:w="1417"/>
        <w:gridCol w:w="1531"/>
        <w:gridCol w:w="1531"/>
        <w:gridCol w:w="1928"/>
      </w:tblGrid>
      <w:tr>
        <w:trPr>
          <w:cantSplit/>
          <w:tblHeader/>
        </w:trPr>
        <w:tc>
          <w:tcPr>
            <w:tcW w:type="dxa" w:w="1304"/>
            <w:vAlign w:val="center"/>
            <w:tcMar>
              <w:top w:w="80" w:type="dxa"/>
              <w:left w:w="80" w:type="dxa"/>
              <w:bottom w:w="80" w:type="dxa"/>
              <w:right w:w="80" w:type="dxa"/>
            </w:tcMar>
            <w:shd w:fill="F1F1F1"/>
          </w:tcPr>
          <w:p>
            <w:pPr>
              <w:keepNext/>
              <w:spacing w:line="276" w:lineRule="auto" w:before="0" w:after="0"/>
              <w:ind w:firstLine="0"/>
              <w:jc w:val="center"/>
            </w:pPr>
            <w:r>
              <w:rPr>
                <w:b/>
                <w:sz w:val="19"/>
              </w:rPr>
              <w:t>问题</w:t>
            </w:r>
          </w:p>
        </w:tc>
        <w:tc>
          <w:tcPr>
            <w:tcW w:type="dxa" w:w="1247"/>
            <w:vAlign w:val="center"/>
            <w:tcMar>
              <w:top w:w="80" w:type="dxa"/>
              <w:left w:w="80" w:type="dxa"/>
              <w:bottom w:w="80" w:type="dxa"/>
              <w:right w:w="80" w:type="dxa"/>
            </w:tcMar>
            <w:shd w:fill="F1F1F1"/>
          </w:tcPr>
          <w:p>
            <w:pPr>
              <w:keepNext/>
              <w:spacing w:line="276" w:lineRule="auto" w:before="0" w:after="0"/>
              <w:ind w:firstLine="0"/>
              <w:jc w:val="center"/>
            </w:pPr>
            <w:r>
              <w:rPr>
                <w:b/>
                <w:sz w:val="19"/>
              </w:rPr>
              <w:t>最优改善率</w:t>
            </w:r>
          </w:p>
        </w:tc>
        <w:tc>
          <w:tcPr>
            <w:tcW w:type="dxa" w:w="1417"/>
            <w:vAlign w:val="center"/>
            <w:tcMar>
              <w:top w:w="80" w:type="dxa"/>
              <w:left w:w="80" w:type="dxa"/>
              <w:bottom w:w="80" w:type="dxa"/>
              <w:right w:w="80" w:type="dxa"/>
            </w:tcMar>
            <w:shd w:fill="F1F1F1"/>
          </w:tcPr>
          <w:p>
            <w:pPr>
              <w:keepNext/>
              <w:spacing w:line="276" w:lineRule="auto" w:before="0" w:after="0"/>
              <w:ind w:firstLine="0"/>
              <w:jc w:val="center"/>
            </w:pPr>
            <w:r>
              <w:rPr>
                <w:b/>
                <w:sz w:val="19"/>
              </w:rPr>
              <w:t>中位数改善率</w:t>
            </w:r>
          </w:p>
        </w:tc>
        <w:tc>
          <w:tcPr>
            <w:tcW w:type="dxa" w:w="1531"/>
            <w:vAlign w:val="center"/>
            <w:tcMar>
              <w:top w:w="80" w:type="dxa"/>
              <w:left w:w="80" w:type="dxa"/>
              <w:bottom w:w="80" w:type="dxa"/>
              <w:right w:w="80" w:type="dxa"/>
            </w:tcMar>
            <w:shd w:fill="F1F1F1"/>
          </w:tcPr>
          <w:p>
            <w:pPr>
              <w:keepNext/>
              <w:spacing w:line="276" w:lineRule="auto" w:before="0" w:after="0"/>
              <w:ind w:firstLine="0"/>
              <w:jc w:val="center"/>
            </w:pPr>
            <w:r>
              <w:rPr>
                <w:b/>
                <w:sz w:val="19"/>
              </w:rPr>
              <w:t>均值改善率</w:t>
            </w:r>
          </w:p>
        </w:tc>
        <w:tc>
          <w:tcPr>
            <w:tcW w:type="dxa" w:w="1531"/>
            <w:vAlign w:val="center"/>
            <w:tcMar>
              <w:top w:w="80" w:type="dxa"/>
              <w:left w:w="80" w:type="dxa"/>
              <w:bottom w:w="80" w:type="dxa"/>
              <w:right w:w="80" w:type="dxa"/>
            </w:tcMar>
            <w:shd w:fill="F1F1F1"/>
          </w:tcPr>
          <w:p>
            <w:pPr>
              <w:keepNext/>
              <w:spacing w:line="276" w:lineRule="auto" w:before="0" w:after="0"/>
              <w:ind w:firstLine="0"/>
              <w:jc w:val="center"/>
            </w:pPr>
            <w:r>
              <w:rPr>
                <w:b/>
                <w:sz w:val="19"/>
              </w:rPr>
              <w:t>改善超过5%的次数</w:t>
            </w:r>
          </w:p>
        </w:tc>
        <w:tc>
          <w:tcPr>
            <w:tcW w:type="dxa" w:w="1928"/>
            <w:vAlign w:val="center"/>
            <w:tcMar>
              <w:top w:w="80" w:type="dxa"/>
              <w:left w:w="80" w:type="dxa"/>
              <w:bottom w:w="80" w:type="dxa"/>
              <w:right w:w="80" w:type="dxa"/>
            </w:tcMar>
            <w:shd w:fill="F1F1F1"/>
          </w:tcPr>
          <w:p>
            <w:pPr>
              <w:keepNext/>
              <w:spacing w:line="276" w:lineRule="auto" w:before="0" w:after="0"/>
              <w:ind w:firstLine="0"/>
              <w:jc w:val="center"/>
            </w:pPr>
            <w:r>
              <w:rPr>
                <w:b/>
                <w:sz w:val="19"/>
              </w:rPr>
              <w:t>超过5%的比例</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旅行商</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8.48%</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5.29%</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4.82%</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115/206</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55.83%</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车辆路径</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8.60%</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4.88%</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4.84%</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93/207</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44.93%</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在线装箱</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83.07%</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7.35%</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22.26%</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109/192</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56.77%</w:t>
            </w:r>
          </w:p>
        </w:tc>
      </w:tr>
    </w:tbl>
    <w:p>
      <w:pPr>
        <w:spacing w:after="0"/>
      </w:pPr>
    </w:p>
    <w:p>
      <w:pPr>
        <w:jc w:val="both"/>
      </w:pPr>
      <w:r>
        <w:rPr>
          <w:b w:val="0"/>
        </w:rPr>
        <w:t>全部有效运行中，317次超过5%阈值，占52.40%。这一合计只表示达标记录所占比例，不能把三类问题的原始目标值合并求平均，也不能把三类改善率直接当作同一经济或物理意义上的收益。</w:t>
      </w:r>
    </w:p>
    <w:p>
      <w:pPr>
        <w:jc w:val="both"/>
      </w:pPr>
      <w:r>
        <w:rPr>
          <w:b w:val="0"/>
        </w:rPr>
        <w:t>如果将26次未完成运行计入启动分母，而不为其赋予虚构目标值，则“每次启动获得超过5%改善结果”的记录比例为317/631，即50.24%；在线装箱为109/218，即50.00%。这与表3的条件比例回答不同问题：表3描述成功形成结果之后的质量分布，后者同时考虑能否形成结果。两种口径应同时保留。</w:t>
      </w:r>
    </w:p>
    <w:p>
      <w:pPr>
        <w:keepNext/>
        <w:ind w:firstLine="0"/>
        <w:jc w:val="center"/>
      </w:pPr>
      <w:r>
        <w:drawing>
          <wp:inline xmlns:a="http://schemas.openxmlformats.org/drawingml/2006/main" xmlns:pic="http://schemas.openxmlformats.org/drawingml/2006/picture">
            <wp:extent cx="5688000" cy="1890991"/>
            <wp:docPr id="1" name="Picture 1"/>
            <wp:cNvGraphicFramePr>
              <a:graphicFrameLocks noChangeAspect="1"/>
            </wp:cNvGraphicFramePr>
            <a:graphic>
              <a:graphicData uri="http://schemas.openxmlformats.org/drawingml/2006/picture">
                <pic:pic>
                  <pic:nvPicPr>
                    <pic:cNvPr id="0" name="图1_改善率经验分布.png"/>
                    <pic:cNvPicPr/>
                  </pic:nvPicPr>
                  <pic:blipFill>
                    <a:blip r:embed="rId11"/>
                    <a:stretch>
                      <a:fillRect/>
                    </a:stretch>
                  </pic:blipFill>
                  <pic:spPr>
                    <a:xfrm>
                      <a:off x="0" y="0"/>
                      <a:ext cx="5688000" cy="1890991"/>
                    </a:xfrm>
                    <a:prstGeom prst="rect"/>
                  </pic:spPr>
                </pic:pic>
              </a:graphicData>
            </a:graphic>
          </wp:inline>
        </w:drawing>
      </w:r>
    </w:p>
    <w:p>
      <w:pPr>
        <w:pStyle w:val="Caption"/>
        <w:jc w:val="center"/>
      </w:pPr>
      <w:r>
        <w:t>图1 三类问题相对历史参考的改善率经验分布</w:t>
      </w:r>
    </w:p>
    <w:p>
      <w:pPr>
        <w:jc w:val="both"/>
      </w:pPr>
      <w:r>
        <w:rPr>
          <w:b w:val="0"/>
        </w:rPr>
        <w:t>图1中，横轴为相对历史参考的改善率，纵轴为不超过该改善率的运行比例。该图只展示历史样本的经验分布，不表示独立重复下的总体概率。旅行商与车辆路径的改善集中在较窄区间，而装箱问题的正向改善范围较宽，进一步说明其高质量个例与典型结果之间的差距。</w:t>
      </w:r>
    </w:p>
    <w:p>
      <w:pPr>
        <w:pStyle w:val="Heading2"/>
      </w:pPr>
      <w:r>
        <w:t>4.3 装箱改善率的量纲解释</w:t>
      </w:r>
    </w:p>
    <w:p>
      <w:pPr>
        <w:jc w:val="both"/>
      </w:pPr>
      <w:r>
        <w:rPr>
          <w:b w:val="0"/>
        </w:rPr>
        <w:t>装箱最优改善率83.07%针对的是超额率 E，而不是所用箱数 B。对于相同实例集合和相同下界，平均箱数可写为平均下界与“1加超额率”的乘积。由参考超额率 E₀ 到新超额率 E₁ 的实际平均箱数下降比例为</w:t>
      </w:r>
    </w:p>
    <w:p>
      <w:pPr>
        <w:spacing w:before="120" w:after="160" w:line="276" w:lineRule="auto"/>
        <w:ind w:firstLine="0"/>
        <w:jc w:val="center"/>
      </w:pPr>
      <m:oMathPara>
        <m:oMath>
          <m:f>
            <m:fPr>
              <m:type m:val="bar"/>
            </m:fPr>
            <m:num>
              <m:sSub>
                <m:e>
                  <m:acc>
                    <m:accPr>
                      <m:chr m:val="̅"/>
                    </m:accPr>
                    <m:e>
                      <m:r>
                        <m:t>B</m:t>
                      </m:r>
                    </m:e>
                  </m:acc>
                </m:e>
                <m:sub>
                  <m:r>
                    <m:t>0</m:t>
                  </m:r>
                </m:sub>
              </m:sSub>
              <m:r>
                <m:t>−</m:t>
              </m:r>
              <m:sSub>
                <m:e>
                  <m:acc>
                    <m:accPr>
                      <m:chr m:val="̅"/>
                    </m:accPr>
                    <m:e>
                      <m:r>
                        <m:t>B</m:t>
                      </m:r>
                    </m:e>
                  </m:acc>
                </m:e>
                <m:sub>
                  <m:r>
                    <m:t>1</m:t>
                  </m:r>
                </m:sub>
              </m:sSub>
            </m:num>
            <m:den>
              <m:sSub>
                <m:e>
                  <m:acc>
                    <m:accPr>
                      <m:chr m:val="̅"/>
                    </m:accPr>
                    <m:e>
                      <m:r>
                        <m:t>B</m:t>
                      </m:r>
                    </m:e>
                  </m:acc>
                </m:e>
                <m:sub>
                  <m:r>
                    <m:t>0</m:t>
                  </m:r>
                </m:sub>
              </m:sSub>
            </m:den>
          </m:f>
          <m:r>
            <m:t>=</m:t>
          </m:r>
          <m:f>
            <m:fPr>
              <m:type m:val="bar"/>
            </m:fPr>
            <m:num>
              <m:sSub>
                <m:e>
                  <m:r>
                    <m:t>E</m:t>
                  </m:r>
                </m:e>
                <m:sub>
                  <m:r>
                    <m:t>0</m:t>
                  </m:r>
                </m:sub>
              </m:sSub>
              <m:r>
                <m:t>−</m:t>
              </m:r>
              <m:sSub>
                <m:e>
                  <m:r>
                    <m:t>E</m:t>
                  </m:r>
                </m:e>
                <m:sub>
                  <m:r>
                    <m:t>1</m:t>
                  </m:r>
                </m:sub>
              </m:sSub>
            </m:num>
            <m:den>
              <m:r>
                <m:t>1+</m:t>
              </m:r>
              <m:sSub>
                <m:e>
                  <m:r>
                    <m:t>E</m:t>
                  </m:r>
                </m:e>
                <m:sub>
                  <m:r>
                    <m:t>0</m:t>
                  </m:r>
                </m:sub>
              </m:sSub>
            </m:den>
          </m:f>
          <m:r>
            <m:t>.</m:t>
          </m:r>
        </m:oMath>
      </m:oMathPara>
    </w:p>
    <w:p>
      <w:pPr>
        <w:jc w:val="both"/>
      </w:pPr>
      <w:r>
        <w:rPr>
          <w:b w:val="0"/>
        </w:rPr>
        <w:t>代入历史参考0.0398与最优超额率0.00674，可得对应的平均箱数下降约为3.18%。这并不削弱超额率下降的意义：当结果已接近体积下界时，进一步消除大量剩余超额仍具有研究价值。但论文必须同时说明评价指标和原始资源量的关系，不能把“超额率下降83.07%”改写为“箱数减少83.07%”。</w:t>
      </w:r>
    </w:p>
    <w:p>
      <w:pPr>
        <w:jc w:val="both"/>
      </w:pPr>
      <w:r>
        <w:rPr>
          <w:b w:val="0"/>
        </w:rPr>
        <w:t>该换算是基于同一下界和舍入后的历史参考得到的量纲说明，不替代原始逐实例箱数对照。装箱最优值仍大于零，也不能据此断言存在可行方案能够达到体积下界。</w:t>
      </w:r>
    </w:p>
    <w:p>
      <w:pPr>
        <w:pStyle w:val="Heading1"/>
      </w:pPr>
      <w:r>
        <w:t>5 进化过程与搜索深度分析</w:t>
      </w:r>
    </w:p>
    <w:p>
      <w:pPr>
        <w:pStyle w:val="Heading2"/>
      </w:pPr>
      <w:r>
        <w:t>5.1 同一次运行的初始结果与终点结果</w:t>
      </w:r>
    </w:p>
    <w:p>
      <w:pPr>
        <w:jc w:val="both"/>
      </w:pPr>
      <w:r>
        <w:rPr>
          <w:b w:val="0"/>
        </w:rPr>
        <w:t>为了区分初始生成和后续进化的作用，对每次运行计算其初始代最优值与终点最优值的变化。初始代指该次运行形成的初始种群，不是整个实验的无知识起点；共享历史仍可能影响初始规则。</w:t>
      </w:r>
    </w:p>
    <w:p>
      <w:pPr>
        <w:pStyle w:val="Caption"/>
        <w:keepNext/>
        <w:jc w:val="center"/>
      </w:pPr>
      <w:r>
        <w:rPr>
          <w:b/>
        </w:rPr>
        <w:t>表4 同次运行内部的进化改善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247"/>
        <w:gridCol w:w="1417"/>
        <w:gridCol w:w="1531"/>
        <w:gridCol w:w="1531"/>
        <w:gridCol w:w="1928"/>
      </w:tblGrid>
      <w:tr>
        <w:trPr>
          <w:cantSplit/>
          <w:tblHeader/>
        </w:trPr>
        <w:tc>
          <w:tcPr>
            <w:tcW w:type="dxa" w:w="1304"/>
            <w:vAlign w:val="center"/>
            <w:tcMar>
              <w:top w:w="80" w:type="dxa"/>
              <w:left w:w="80" w:type="dxa"/>
              <w:bottom w:w="80" w:type="dxa"/>
              <w:right w:w="80" w:type="dxa"/>
            </w:tcMar>
            <w:shd w:fill="F1F1F1"/>
          </w:tcPr>
          <w:p>
            <w:pPr>
              <w:keepNext/>
              <w:spacing w:line="276" w:lineRule="auto" w:before="0" w:after="0"/>
              <w:ind w:firstLine="0"/>
              <w:jc w:val="center"/>
            </w:pPr>
            <w:r>
              <w:rPr>
                <w:b/>
                <w:sz w:val="19"/>
              </w:rPr>
              <w:t>问题</w:t>
            </w:r>
          </w:p>
        </w:tc>
        <w:tc>
          <w:tcPr>
            <w:tcW w:type="dxa" w:w="1247"/>
            <w:vAlign w:val="center"/>
            <w:tcMar>
              <w:top w:w="80" w:type="dxa"/>
              <w:left w:w="80" w:type="dxa"/>
              <w:bottom w:w="80" w:type="dxa"/>
              <w:right w:w="80" w:type="dxa"/>
            </w:tcMar>
            <w:shd w:fill="F1F1F1"/>
          </w:tcPr>
          <w:p>
            <w:pPr>
              <w:keepNext/>
              <w:spacing w:line="276" w:lineRule="auto" w:before="0" w:after="0"/>
              <w:ind w:firstLine="0"/>
              <w:jc w:val="center"/>
            </w:pPr>
            <w:r>
              <w:rPr>
                <w:b/>
                <w:sz w:val="19"/>
              </w:rPr>
              <w:t>初始最优值中位数</w:t>
            </w:r>
          </w:p>
        </w:tc>
        <w:tc>
          <w:tcPr>
            <w:tcW w:type="dxa" w:w="1417"/>
            <w:vAlign w:val="center"/>
            <w:tcMar>
              <w:top w:w="80" w:type="dxa"/>
              <w:left w:w="80" w:type="dxa"/>
              <w:bottom w:w="80" w:type="dxa"/>
              <w:right w:w="80" w:type="dxa"/>
            </w:tcMar>
            <w:shd w:fill="F1F1F1"/>
          </w:tcPr>
          <w:p>
            <w:pPr>
              <w:keepNext/>
              <w:spacing w:line="276" w:lineRule="auto" w:before="0" w:after="0"/>
              <w:ind w:firstLine="0"/>
              <w:jc w:val="center"/>
            </w:pPr>
            <w:r>
              <w:rPr>
                <w:b/>
                <w:sz w:val="19"/>
              </w:rPr>
              <w:t>终点最优值中位数</w:t>
            </w:r>
          </w:p>
        </w:tc>
        <w:tc>
          <w:tcPr>
            <w:tcW w:type="dxa" w:w="1531"/>
            <w:vAlign w:val="center"/>
            <w:tcMar>
              <w:top w:w="80" w:type="dxa"/>
              <w:left w:w="80" w:type="dxa"/>
              <w:bottom w:w="80" w:type="dxa"/>
              <w:right w:w="80" w:type="dxa"/>
            </w:tcMar>
            <w:shd w:fill="F1F1F1"/>
          </w:tcPr>
          <w:p>
            <w:pPr>
              <w:keepNext/>
              <w:spacing w:line="276" w:lineRule="auto" w:before="0" w:after="0"/>
              <w:ind w:firstLine="0"/>
              <w:jc w:val="center"/>
            </w:pPr>
            <w:r>
              <w:rPr>
                <w:b/>
                <w:sz w:val="19"/>
              </w:rPr>
              <w:t>终点优于初始的次数</w:t>
            </w:r>
          </w:p>
        </w:tc>
        <w:tc>
          <w:tcPr>
            <w:tcW w:type="dxa" w:w="1531"/>
            <w:vAlign w:val="center"/>
            <w:tcMar>
              <w:top w:w="80" w:type="dxa"/>
              <w:left w:w="80" w:type="dxa"/>
              <w:bottom w:w="80" w:type="dxa"/>
              <w:right w:w="80" w:type="dxa"/>
            </w:tcMar>
            <w:shd w:fill="F1F1F1"/>
          </w:tcPr>
          <w:p>
            <w:pPr>
              <w:keepNext/>
              <w:spacing w:line="276" w:lineRule="auto" w:before="0" w:after="0"/>
              <w:ind w:firstLine="0"/>
              <w:jc w:val="center"/>
            </w:pPr>
            <w:r>
              <w:rPr>
                <w:b/>
                <w:sz w:val="19"/>
              </w:rPr>
              <w:t>该比例</w:t>
            </w:r>
          </w:p>
        </w:tc>
        <w:tc>
          <w:tcPr>
            <w:tcW w:type="dxa" w:w="1928"/>
            <w:vAlign w:val="center"/>
            <w:tcMar>
              <w:top w:w="80" w:type="dxa"/>
              <w:left w:w="80" w:type="dxa"/>
              <w:bottom w:w="80" w:type="dxa"/>
              <w:right w:w="80" w:type="dxa"/>
            </w:tcMar>
            <w:shd w:fill="F1F1F1"/>
          </w:tcPr>
          <w:p>
            <w:pPr>
              <w:keepNext/>
              <w:spacing w:line="276" w:lineRule="auto" w:before="0" w:after="0"/>
              <w:ind w:firstLine="0"/>
              <w:jc w:val="center"/>
            </w:pPr>
            <w:r>
              <w:rPr>
                <w:b/>
                <w:sz w:val="19"/>
              </w:rPr>
              <w:t>逐运行内部改善率中位数</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旅行商</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6.529850</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6.212865</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175/206</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84.95%</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3.48%</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车辆路径</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13.281060</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12.858850</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196/207</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94.69%</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2.41%</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在线装箱</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0.039840</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0.036875</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162/192</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84.38%</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9.49%</w:t>
            </w:r>
          </w:p>
        </w:tc>
      </w:tr>
    </w:tbl>
    <w:p>
      <w:pPr>
        <w:spacing w:after="0"/>
      </w:pPr>
    </w:p>
    <w:p>
      <w:pPr>
        <w:jc w:val="both"/>
      </w:pPr>
      <w:r>
        <w:rPr>
          <w:b w:val="0"/>
        </w:rPr>
        <w:t>表4最后一列先计算每个运行内部的相对变化，再对这些变化取中位数，不等于前两列中位数之差除以前一列中位数。两者对应不同统计量，不能相互替代。</w:t>
      </w:r>
    </w:p>
    <w:p>
      <w:pPr>
        <w:jc w:val="both"/>
      </w:pPr>
      <w:r>
        <w:rPr>
          <w:b w:val="0"/>
        </w:rPr>
        <w:t>三类问题均有超过八成的有效运行在初始种群之后继续改善。车辆路径的改善发生比例最高，但其内部改善幅度中位数并非最大；装箱的典型内部相对变化较大，同时仍有30次运行终点与初始最优值相同。这说明“是否继续改善”和“改善了多少”需要分别讨论。</w:t>
      </w:r>
    </w:p>
    <w:p>
      <w:pPr>
        <w:jc w:val="both"/>
      </w:pPr>
      <w:r>
        <w:rPr>
          <w:b w:val="0"/>
        </w:rPr>
        <w:t>这些观察支持迭代搜索在已有运行中产生了进一步优化结果。然而，没有同预算的“一次性生成大量候选”对照，仍不能据此证明逐代进化必然比其他候选分配方式更有效。</w:t>
      </w:r>
    </w:p>
    <w:p>
      <w:pPr>
        <w:pStyle w:val="Heading2"/>
      </w:pPr>
      <w:r>
        <w:t>5.2 三个最优运行的逐代变化</w:t>
      </w:r>
    </w:p>
    <w:p>
      <w:pPr>
        <w:jc w:val="both"/>
      </w:pPr>
      <w:r>
        <w:rPr>
          <w:b w:val="0"/>
        </w:rPr>
        <w:t>三个全批次最优结果对应的轨迹具有不同形态。旅行商最优运行从6.98316起步，第1代降至6.34985，第2代降至6.10999，第4代达到6.00470，第8代进一步达到6.00393。其主要改善发生在前几代，后续变化较小；相对于该运行自身初始值，终点下降14.02%。</w:t>
      </w:r>
    </w:p>
    <w:p>
      <w:pPr>
        <w:jc w:val="both"/>
      </w:pPr>
      <w:r>
        <w:rPr>
          <w:b w:val="0"/>
        </w:rPr>
        <w:t>车辆路径最优运行从13.28321起步，第1代达到12.80153，第2代达到12.70876，随后经历一段停滞，第8代、第9代、第12代和第16代继续改善，最终为12.35639。内部相对下降为6.98%。该个例显示较晚阶段仍可能出现改善，但不能从一个最优个例推断所有运行都应延长至16代。</w:t>
      </w:r>
    </w:p>
    <w:p>
      <w:pPr>
        <w:jc w:val="both"/>
      </w:pPr>
      <w:r>
        <w:rPr>
          <w:b w:val="0"/>
        </w:rPr>
        <w:t>装箱最优运行从第0代至第7代均保持0.02324，第8代下降至0.00674，内部相对改善为71.00%。这一轨迹表明，长时间没有最优值变化并不必然意味着后续不会出现有效结构变化；同时，事后观察到一次晚期改善，也不足以说明延长任意停滞运行都具有较高收益。</w:t>
      </w:r>
    </w:p>
    <w:p>
      <w:pPr>
        <w:keepNext/>
        <w:ind w:firstLine="0"/>
        <w:jc w:val="center"/>
      </w:pPr>
      <w:r>
        <w:drawing>
          <wp:inline xmlns:a="http://schemas.openxmlformats.org/drawingml/2006/main" xmlns:pic="http://schemas.openxmlformats.org/drawingml/2006/picture">
            <wp:extent cx="5688000" cy="1890278"/>
            <wp:docPr id="2" name="Picture 2"/>
            <wp:cNvGraphicFramePr>
              <a:graphicFrameLocks noChangeAspect="1"/>
            </wp:cNvGraphicFramePr>
            <a:graphic>
              <a:graphicData uri="http://schemas.openxmlformats.org/drawingml/2006/picture">
                <pic:pic>
                  <pic:nvPicPr>
                    <pic:cNvPr id="0" name="图2_代表性进化轨迹.png"/>
                    <pic:cNvPicPr/>
                  </pic:nvPicPr>
                  <pic:blipFill>
                    <a:blip r:embed="rId12"/>
                    <a:stretch>
                      <a:fillRect/>
                    </a:stretch>
                  </pic:blipFill>
                  <pic:spPr>
                    <a:xfrm>
                      <a:off x="0" y="0"/>
                      <a:ext cx="5688000" cy="1890278"/>
                    </a:xfrm>
                    <a:prstGeom prst="rect"/>
                  </pic:spPr>
                </pic:pic>
              </a:graphicData>
            </a:graphic>
          </wp:inline>
        </w:drawing>
      </w:r>
    </w:p>
    <w:p>
      <w:pPr>
        <w:pStyle w:val="Caption"/>
        <w:jc w:val="center"/>
      </w:pPr>
      <w:r>
        <w:t>图2 三类问题最优运行的逐代目标值</w:t>
      </w:r>
    </w:p>
    <w:p>
      <w:pPr>
        <w:jc w:val="both"/>
      </w:pPr>
      <w:r>
        <w:rPr>
          <w:b w:val="0"/>
        </w:rPr>
        <w:t>图2中的运行是依据最终结果事后选出的，适用于展示搜索过程的可能形态，不代表随机选择一次运行时的期望表现。初始值与终点值的变化由完整轨迹给出，不把停滞期解释成模型未进行任何有效探索。</w:t>
      </w:r>
    </w:p>
    <w:p>
      <w:pPr>
        <w:pStyle w:val="Heading2"/>
      </w:pPr>
      <w:r>
        <w:t>5.3 八代与十六代结果的描述性比较</w:t>
      </w:r>
    </w:p>
    <w:p>
      <w:pPr>
        <w:pStyle w:val="Caption"/>
        <w:keepNext/>
        <w:jc w:val="center"/>
      </w:pPr>
      <w:r>
        <w:rPr>
          <w:b/>
        </w:rPr>
        <w:t>表5 不同搜索深度的终点结果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247"/>
        <w:gridCol w:w="1417"/>
        <w:gridCol w:w="1531"/>
        <w:gridCol w:w="1531"/>
        <w:gridCol w:w="1928"/>
      </w:tblGrid>
      <w:tr>
        <w:trPr>
          <w:cantSplit/>
          <w:tblHeader/>
        </w:trPr>
        <w:tc>
          <w:tcPr>
            <w:tcW w:type="dxa" w:w="1304"/>
            <w:vAlign w:val="center"/>
            <w:tcMar>
              <w:top w:w="80" w:type="dxa"/>
              <w:left w:w="80" w:type="dxa"/>
              <w:bottom w:w="80" w:type="dxa"/>
              <w:right w:w="80" w:type="dxa"/>
            </w:tcMar>
            <w:shd w:fill="F1F1F1"/>
          </w:tcPr>
          <w:p>
            <w:pPr>
              <w:keepNext/>
              <w:spacing w:line="276" w:lineRule="auto" w:before="0" w:after="0"/>
              <w:ind w:firstLine="0"/>
              <w:jc w:val="center"/>
            </w:pPr>
            <w:r>
              <w:rPr>
                <w:b/>
                <w:sz w:val="19"/>
              </w:rPr>
              <w:t>问题</w:t>
            </w:r>
          </w:p>
        </w:tc>
        <w:tc>
          <w:tcPr>
            <w:tcW w:type="dxa" w:w="1247"/>
            <w:vAlign w:val="center"/>
            <w:tcMar>
              <w:top w:w="80" w:type="dxa"/>
              <w:left w:w="80" w:type="dxa"/>
              <w:bottom w:w="80" w:type="dxa"/>
              <w:right w:w="80" w:type="dxa"/>
            </w:tcMar>
            <w:shd w:fill="F1F1F1"/>
          </w:tcPr>
          <w:p>
            <w:pPr>
              <w:keepNext/>
              <w:spacing w:line="276" w:lineRule="auto" w:before="0" w:after="0"/>
              <w:ind w:firstLine="0"/>
              <w:jc w:val="center"/>
            </w:pPr>
            <w:r>
              <w:rPr>
                <w:b/>
                <w:sz w:val="19"/>
              </w:rPr>
              <w:t>代数</w:t>
            </w:r>
          </w:p>
        </w:tc>
        <w:tc>
          <w:tcPr>
            <w:tcW w:type="dxa" w:w="1417"/>
            <w:vAlign w:val="center"/>
            <w:tcMar>
              <w:top w:w="80" w:type="dxa"/>
              <w:left w:w="80" w:type="dxa"/>
              <w:bottom w:w="80" w:type="dxa"/>
              <w:right w:w="80" w:type="dxa"/>
            </w:tcMar>
            <w:shd w:fill="F1F1F1"/>
          </w:tcPr>
          <w:p>
            <w:pPr>
              <w:keepNext/>
              <w:spacing w:line="276" w:lineRule="auto" w:before="0" w:after="0"/>
              <w:ind w:firstLine="0"/>
              <w:jc w:val="center"/>
            </w:pPr>
            <w:r>
              <w:rPr>
                <w:b/>
                <w:sz w:val="19"/>
              </w:rPr>
              <w:t>有效运行数</w:t>
            </w:r>
          </w:p>
        </w:tc>
        <w:tc>
          <w:tcPr>
            <w:tcW w:type="dxa" w:w="1531"/>
            <w:vAlign w:val="center"/>
            <w:tcMar>
              <w:top w:w="80" w:type="dxa"/>
              <w:left w:w="80" w:type="dxa"/>
              <w:bottom w:w="80" w:type="dxa"/>
              <w:right w:w="80" w:type="dxa"/>
            </w:tcMar>
            <w:shd w:fill="F1F1F1"/>
          </w:tcPr>
          <w:p>
            <w:pPr>
              <w:keepNext/>
              <w:spacing w:line="276" w:lineRule="auto" w:before="0" w:after="0"/>
              <w:ind w:firstLine="0"/>
              <w:jc w:val="center"/>
            </w:pPr>
            <w:r>
              <w:rPr>
                <w:b/>
                <w:sz w:val="19"/>
              </w:rPr>
              <w:t>终点中位数</w:t>
            </w:r>
          </w:p>
        </w:tc>
        <w:tc>
          <w:tcPr>
            <w:tcW w:type="dxa" w:w="1531"/>
            <w:vAlign w:val="center"/>
            <w:tcMar>
              <w:top w:w="80" w:type="dxa"/>
              <w:left w:w="80" w:type="dxa"/>
              <w:bottom w:w="80" w:type="dxa"/>
              <w:right w:w="80" w:type="dxa"/>
            </w:tcMar>
            <w:shd w:fill="F1F1F1"/>
          </w:tcPr>
          <w:p>
            <w:pPr>
              <w:keepNext/>
              <w:spacing w:line="276" w:lineRule="auto" w:before="0" w:after="0"/>
              <w:ind w:firstLine="0"/>
              <w:jc w:val="center"/>
            </w:pPr>
            <w:r>
              <w:rPr>
                <w:b/>
                <w:sz w:val="19"/>
              </w:rPr>
              <w:t>最优值</w:t>
            </w:r>
          </w:p>
        </w:tc>
        <w:tc>
          <w:tcPr>
            <w:tcW w:type="dxa" w:w="1928"/>
            <w:vAlign w:val="center"/>
            <w:tcMar>
              <w:top w:w="80" w:type="dxa"/>
              <w:left w:w="80" w:type="dxa"/>
              <w:bottom w:w="80" w:type="dxa"/>
              <w:right w:w="80" w:type="dxa"/>
            </w:tcMar>
            <w:shd w:fill="F1F1F1"/>
          </w:tcPr>
          <w:p>
            <w:pPr>
              <w:keepNext/>
              <w:spacing w:line="276" w:lineRule="auto" w:before="0" w:after="0"/>
              <w:ind w:firstLine="0"/>
              <w:jc w:val="center"/>
            </w:pPr>
            <w:r>
              <w:rPr>
                <w:b/>
                <w:sz w:val="19"/>
              </w:rPr>
              <w:t>改善超过5%的次数</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旅行商</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8</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184</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6.221555</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6.00393</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99</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旅行商</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16</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22</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6.183970</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6.08075</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16</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车辆路径</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8</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183</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12.860650</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12.42319</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77</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车辆路径</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16</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24</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12.774385</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12.35639</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16</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在线装箱</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8</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172</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0.037180</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0.00674</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93</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在线装箱</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16</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20</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0.029080</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0.00694</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16</w:t>
            </w:r>
          </w:p>
        </w:tc>
      </w:tr>
    </w:tbl>
    <w:p>
      <w:pPr>
        <w:spacing w:after="0"/>
      </w:pPr>
    </w:p>
    <w:p>
      <w:pPr>
        <w:jc w:val="both"/>
      </w:pPr>
      <w:r>
        <w:rPr>
          <w:b w:val="0"/>
        </w:rPr>
        <w:t>三类问题的16代组中位数均低于8代组，其中装箱差异较大。但组间运行数明显不均衡，且各岛使用的共享历史与启动时刻并不相同。因此，表5不能被解释为仅增加代数所产生的因果效果。</w:t>
      </w:r>
    </w:p>
    <w:p>
      <w:pPr>
        <w:jc w:val="both"/>
      </w:pPr>
      <w:r>
        <w:rPr>
          <w:b w:val="0"/>
        </w:rPr>
        <w:t>旅行商和装箱的全批次最优值反而来自8代组，这与16代组中位数较低并不矛盾。一方面，最优值与中位数反映不同性质；另一方面，8代组包含更多运行，拥有更多发现极端好结果的机会。比较组间最优值时必须同时考虑尝试次数，不能仅凭最优值决定搜索深度。</w:t>
      </w:r>
    </w:p>
    <w:p>
      <w:pPr>
        <w:pStyle w:val="Heading2"/>
      </w:pPr>
      <w:r>
        <w:t>5.4 同一十六代轨迹中的后半程收益</w:t>
      </w:r>
    </w:p>
    <w:p>
      <w:pPr>
        <w:jc w:val="both"/>
      </w:pPr>
      <w:r>
        <w:rPr>
          <w:b w:val="0"/>
        </w:rPr>
        <w:t>为进一步减少不同初始条件的干扰，考察每条16代轨迹在第8代之后是否继续改善。</w:t>
      </w:r>
    </w:p>
    <w:p>
      <w:pPr>
        <w:pStyle w:val="Caption"/>
        <w:keepNext/>
        <w:jc w:val="center"/>
      </w:pPr>
      <w:r>
        <w:rPr>
          <w:b/>
        </w:rPr>
        <w:t>表6 同一运行第8代至第16代的变化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247"/>
        <w:gridCol w:w="1417"/>
        <w:gridCol w:w="1531"/>
        <w:gridCol w:w="1531"/>
        <w:gridCol w:w="1928"/>
      </w:tblGrid>
      <w:tr>
        <w:trPr>
          <w:cantSplit/>
          <w:tblHeader/>
        </w:trPr>
        <w:tc>
          <w:tcPr>
            <w:tcW w:type="dxa" w:w="1304"/>
            <w:vAlign w:val="center"/>
            <w:tcMar>
              <w:top w:w="80" w:type="dxa"/>
              <w:left w:w="80" w:type="dxa"/>
              <w:bottom w:w="80" w:type="dxa"/>
              <w:right w:w="80" w:type="dxa"/>
            </w:tcMar>
            <w:shd w:fill="F1F1F1"/>
          </w:tcPr>
          <w:p>
            <w:pPr>
              <w:keepNext/>
              <w:spacing w:line="276" w:lineRule="auto" w:before="0" w:after="0"/>
              <w:ind w:firstLine="0"/>
              <w:jc w:val="center"/>
            </w:pPr>
            <w:r>
              <w:rPr>
                <w:b/>
                <w:sz w:val="19"/>
              </w:rPr>
              <w:t>问题</w:t>
            </w:r>
          </w:p>
        </w:tc>
        <w:tc>
          <w:tcPr>
            <w:tcW w:type="dxa" w:w="1247"/>
            <w:vAlign w:val="center"/>
            <w:tcMar>
              <w:top w:w="80" w:type="dxa"/>
              <w:left w:w="80" w:type="dxa"/>
              <w:bottom w:w="80" w:type="dxa"/>
              <w:right w:w="80" w:type="dxa"/>
            </w:tcMar>
            <w:shd w:fill="F1F1F1"/>
          </w:tcPr>
          <w:p>
            <w:pPr>
              <w:keepNext/>
              <w:spacing w:line="276" w:lineRule="auto" w:before="0" w:after="0"/>
              <w:ind w:firstLine="0"/>
              <w:jc w:val="center"/>
            </w:pPr>
            <w:r>
              <w:rPr>
                <w:b/>
                <w:sz w:val="19"/>
              </w:rPr>
              <w:t>轨迹数</w:t>
            </w:r>
          </w:p>
        </w:tc>
        <w:tc>
          <w:tcPr>
            <w:tcW w:type="dxa" w:w="1417"/>
            <w:vAlign w:val="center"/>
            <w:tcMar>
              <w:top w:w="80" w:type="dxa"/>
              <w:left w:w="80" w:type="dxa"/>
              <w:bottom w:w="80" w:type="dxa"/>
              <w:right w:w="80" w:type="dxa"/>
            </w:tcMar>
            <w:shd w:fill="F1F1F1"/>
          </w:tcPr>
          <w:p>
            <w:pPr>
              <w:keepNext/>
              <w:spacing w:line="276" w:lineRule="auto" w:before="0" w:after="0"/>
              <w:ind w:firstLine="0"/>
              <w:jc w:val="center"/>
            </w:pPr>
            <w:r>
              <w:rPr>
                <w:b/>
                <w:sz w:val="19"/>
              </w:rPr>
              <w:t>后半程继续改善</w:t>
            </w:r>
          </w:p>
        </w:tc>
        <w:tc>
          <w:tcPr>
            <w:tcW w:type="dxa" w:w="1531"/>
            <w:vAlign w:val="center"/>
            <w:tcMar>
              <w:top w:w="80" w:type="dxa"/>
              <w:left w:w="80" w:type="dxa"/>
              <w:bottom w:w="80" w:type="dxa"/>
              <w:right w:w="80" w:type="dxa"/>
            </w:tcMar>
            <w:shd w:fill="F1F1F1"/>
          </w:tcPr>
          <w:p>
            <w:pPr>
              <w:keepNext/>
              <w:spacing w:line="276" w:lineRule="auto" w:before="0" w:after="0"/>
              <w:ind w:firstLine="0"/>
              <w:jc w:val="center"/>
            </w:pPr>
            <w:r>
              <w:rPr>
                <w:b/>
                <w:sz w:val="19"/>
              </w:rPr>
              <w:t>第8代目标中位数</w:t>
            </w:r>
          </w:p>
        </w:tc>
        <w:tc>
          <w:tcPr>
            <w:tcW w:type="dxa" w:w="1531"/>
            <w:vAlign w:val="center"/>
            <w:tcMar>
              <w:top w:w="80" w:type="dxa"/>
              <w:left w:w="80" w:type="dxa"/>
              <w:bottom w:w="80" w:type="dxa"/>
              <w:right w:w="80" w:type="dxa"/>
            </w:tcMar>
            <w:shd w:fill="F1F1F1"/>
          </w:tcPr>
          <w:p>
            <w:pPr>
              <w:keepNext/>
              <w:spacing w:line="276" w:lineRule="auto" w:before="0" w:after="0"/>
              <w:ind w:firstLine="0"/>
              <w:jc w:val="center"/>
            </w:pPr>
            <w:r>
              <w:rPr>
                <w:b/>
                <w:sz w:val="19"/>
              </w:rPr>
              <w:t>第16代目标中位数</w:t>
            </w:r>
          </w:p>
        </w:tc>
        <w:tc>
          <w:tcPr>
            <w:tcW w:type="dxa" w:w="1928"/>
            <w:vAlign w:val="center"/>
            <w:tcMar>
              <w:top w:w="80" w:type="dxa"/>
              <w:left w:w="80" w:type="dxa"/>
              <w:bottom w:w="80" w:type="dxa"/>
              <w:right w:w="80" w:type="dxa"/>
            </w:tcMar>
            <w:shd w:fill="F1F1F1"/>
          </w:tcPr>
          <w:p>
            <w:pPr>
              <w:keepNext/>
              <w:spacing w:line="276" w:lineRule="auto" w:before="0" w:after="0"/>
              <w:ind w:firstLine="0"/>
              <w:jc w:val="center"/>
            </w:pPr>
            <w:r>
              <w:rPr>
                <w:b/>
                <w:sz w:val="19"/>
              </w:rPr>
              <w:t>逐运行后半程改善率中位数</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旅行商</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22</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11</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6.218950</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6.183970</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0.01%</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车辆路径</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24</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17</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12.854575</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12.774385</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0.65%</w:t>
            </w:r>
          </w:p>
        </w:tc>
      </w:tr>
      <w:tr>
        <w:trPr>
          <w:cantSplit/>
        </w:trPr>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在线装箱</w:t>
            </w:r>
          </w:p>
        </w:tc>
        <w:tc>
          <w:tcPr>
            <w:tcW w:type="dxa" w:w="1247"/>
            <w:vAlign w:val="center"/>
            <w:tcMar>
              <w:top w:w="80" w:type="dxa"/>
              <w:left w:w="80" w:type="dxa"/>
              <w:bottom w:w="80" w:type="dxa"/>
              <w:right w:w="80" w:type="dxa"/>
            </w:tcMar>
          </w:tcPr>
          <w:p>
            <w:pPr>
              <w:spacing w:line="276" w:lineRule="auto" w:before="0" w:after="0"/>
              <w:ind w:firstLine="0"/>
              <w:jc w:val="center"/>
            </w:pPr>
            <w:r>
              <w:rPr>
                <w:b w:val="0"/>
                <w:sz w:val="19"/>
              </w:rPr>
              <w:t>20</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12</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0.037630</w:t>
            </w:r>
          </w:p>
        </w:tc>
        <w:tc>
          <w:tcPr>
            <w:tcW w:type="dxa" w:w="1531"/>
            <w:vAlign w:val="center"/>
            <w:tcMar>
              <w:top w:w="80" w:type="dxa"/>
              <w:left w:w="80" w:type="dxa"/>
              <w:bottom w:w="80" w:type="dxa"/>
              <w:right w:w="80" w:type="dxa"/>
            </w:tcMar>
          </w:tcPr>
          <w:p>
            <w:pPr>
              <w:spacing w:line="276" w:lineRule="auto" w:before="0" w:after="0"/>
              <w:ind w:firstLine="0"/>
              <w:jc w:val="center"/>
            </w:pPr>
            <w:r>
              <w:rPr>
                <w:b w:val="0"/>
                <w:sz w:val="19"/>
              </w:rPr>
              <w:t>0.029080</w:t>
            </w:r>
          </w:p>
        </w:tc>
        <w:tc>
          <w:tcPr>
            <w:tcW w:type="dxa" w:w="1928"/>
            <w:vAlign w:val="center"/>
            <w:tcMar>
              <w:top w:w="80" w:type="dxa"/>
              <w:left w:w="80" w:type="dxa"/>
              <w:bottom w:w="80" w:type="dxa"/>
              <w:right w:w="80" w:type="dxa"/>
            </w:tcMar>
          </w:tcPr>
          <w:p>
            <w:pPr>
              <w:spacing w:line="276" w:lineRule="auto" w:before="0" w:after="0"/>
              <w:ind w:firstLine="0"/>
              <w:jc w:val="center"/>
            </w:pPr>
            <w:r>
              <w:rPr>
                <w:b w:val="0"/>
                <w:sz w:val="19"/>
              </w:rPr>
              <w:t>6.23%</w:t>
            </w:r>
          </w:p>
        </w:tc>
      </w:tr>
    </w:tbl>
    <w:p>
      <w:pPr>
        <w:spacing w:after="0"/>
      </w:pPr>
    </w:p>
    <w:p>
      <w:pPr>
        <w:jc w:val="both"/>
      </w:pPr>
      <w:r>
        <w:rPr>
          <w:b w:val="0"/>
        </w:rPr>
        <w:t>相对于表5，这一比较的两个端点来自同一条运行轨迹，避免了直接比较两个不同运行的初始种群。但后半程仍增加了搜索资源，而且共享历史可能继续变化，故它识别的是“这些已发生的续搜轨迹增加了多少改善”，不是单位成本效率，更不是独立重复下的普遍规律。</w:t>
      </w:r>
    </w:p>
    <w:p>
      <w:pPr>
        <w:jc w:val="both"/>
      </w:pPr>
      <w:r>
        <w:rPr>
          <w:b w:val="0"/>
        </w:rPr>
        <w:t>装箱的后半程改善中位数高于另外两类问题，提示较长搜索可能更有机会调整其非单调评分结构。旅行商后半程的逐运行改善率中位数约为0.01%，则表明相当部分续搜已接近该次运行的停滞阶段。该现象可作为后续设计停止规则的线索，但不能直接用本批最优轨迹反向制定并检验同一停止规则。</w:t>
      </w:r>
    </w:p>
    <w:p>
      <w:pPr>
        <w:pStyle w:val="Heading1"/>
      </w:pPr>
      <w:r>
        <w:t>6 代表性规则的数学机制分析</w:t>
      </w:r>
    </w:p>
    <w:p>
      <w:pPr>
        <w:pStyle w:val="Heading2"/>
      </w:pPr>
      <w:r>
        <w:t>6.1 代表性结果及其选择边界</w:t>
      </w:r>
    </w:p>
    <w:p>
      <w:pPr>
        <w:jc w:val="both"/>
      </w:pPr>
      <w:r>
        <w:rPr>
          <w:b w:val="0"/>
        </w:rPr>
        <w:t>从每类问题中保留三个便于比较的较优规则，共九个代表。代表的用途是展示决策机制，而不是替代全部605次运行。选择同时考虑结果质量和数学表达上的差异；对于名称不同但排序相同的规则，下文明确说明其关系，不把命名差异当作机制独立性。</w:t>
      </w:r>
    </w:p>
    <w:p>
      <w:pPr>
        <w:pStyle w:val="Caption"/>
        <w:keepNext/>
        <w:jc w:val="center"/>
      </w:pPr>
      <w:r>
        <w:rPr>
          <w:b/>
        </w:rPr>
        <w:t>表7 九个代表性规则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567"/>
        <w:gridCol w:w="3969"/>
        <w:gridCol w:w="1304"/>
        <w:gridCol w:w="1984"/>
      </w:tblGrid>
      <w:tr>
        <w:trPr>
          <w:cantSplit/>
          <w:tblHeader/>
        </w:trPr>
        <w:tc>
          <w:tcPr>
            <w:tcW w:type="dxa" w:w="1134"/>
            <w:vAlign w:val="center"/>
            <w:tcMar>
              <w:top w:w="80" w:type="dxa"/>
              <w:left w:w="80" w:type="dxa"/>
              <w:bottom w:w="80" w:type="dxa"/>
              <w:right w:w="80" w:type="dxa"/>
            </w:tcMar>
            <w:shd w:fill="F1F1F1"/>
          </w:tcPr>
          <w:p>
            <w:pPr>
              <w:keepNext/>
              <w:spacing w:line="276" w:lineRule="auto" w:before="0" w:after="0"/>
              <w:ind w:firstLine="0"/>
              <w:jc w:val="center"/>
            </w:pPr>
            <w:r>
              <w:rPr>
                <w:b/>
                <w:sz w:val="19"/>
              </w:rPr>
              <w:t>问题</w:t>
            </w:r>
          </w:p>
        </w:tc>
        <w:tc>
          <w:tcPr>
            <w:tcW w:type="dxa" w:w="567"/>
            <w:vAlign w:val="center"/>
            <w:tcMar>
              <w:top w:w="80" w:type="dxa"/>
              <w:left w:w="80" w:type="dxa"/>
              <w:bottom w:w="80" w:type="dxa"/>
              <w:right w:w="80" w:type="dxa"/>
            </w:tcMar>
            <w:shd w:fill="F1F1F1"/>
          </w:tcPr>
          <w:p>
            <w:pPr>
              <w:keepNext/>
              <w:spacing w:line="276" w:lineRule="auto" w:before="0" w:after="0"/>
              <w:ind w:firstLine="0"/>
              <w:jc w:val="center"/>
            </w:pPr>
            <w:r>
              <w:rPr>
                <w:b/>
                <w:sz w:val="19"/>
              </w:rPr>
              <w:t>编号</w:t>
            </w:r>
          </w:p>
        </w:tc>
        <w:tc>
          <w:tcPr>
            <w:tcW w:type="dxa" w:w="3969"/>
            <w:vAlign w:val="center"/>
            <w:tcMar>
              <w:top w:w="80" w:type="dxa"/>
              <w:left w:w="80" w:type="dxa"/>
              <w:bottom w:w="80" w:type="dxa"/>
              <w:right w:w="80" w:type="dxa"/>
            </w:tcMar>
            <w:shd w:fill="F1F1F1"/>
          </w:tcPr>
          <w:p>
            <w:pPr>
              <w:keepNext/>
              <w:spacing w:line="276" w:lineRule="auto" w:before="0" w:after="0"/>
              <w:ind w:firstLine="0"/>
              <w:jc w:val="center"/>
            </w:pPr>
            <w:r>
              <w:rPr>
                <w:b/>
                <w:sz w:val="19"/>
              </w:rPr>
              <w:t>主要决策形式</w:t>
            </w:r>
          </w:p>
        </w:tc>
        <w:tc>
          <w:tcPr>
            <w:tcW w:type="dxa" w:w="1304"/>
            <w:vAlign w:val="center"/>
            <w:tcMar>
              <w:top w:w="80" w:type="dxa"/>
              <w:left w:w="80" w:type="dxa"/>
              <w:bottom w:w="80" w:type="dxa"/>
              <w:right w:w="80" w:type="dxa"/>
            </w:tcMar>
            <w:shd w:fill="F1F1F1"/>
          </w:tcPr>
          <w:p>
            <w:pPr>
              <w:keepNext/>
              <w:spacing w:line="276" w:lineRule="auto" w:before="0" w:after="0"/>
              <w:ind w:firstLine="0"/>
              <w:jc w:val="center"/>
            </w:pPr>
            <w:r>
              <w:rPr>
                <w:b/>
                <w:sz w:val="19"/>
              </w:rPr>
              <w:t>目标值</w:t>
            </w:r>
          </w:p>
        </w:tc>
        <w:tc>
          <w:tcPr>
            <w:tcW w:type="dxa" w:w="1984"/>
            <w:vAlign w:val="center"/>
            <w:tcMar>
              <w:top w:w="80" w:type="dxa"/>
              <w:left w:w="80" w:type="dxa"/>
              <w:bottom w:w="80" w:type="dxa"/>
              <w:right w:w="80" w:type="dxa"/>
            </w:tcMar>
            <w:shd w:fill="F1F1F1"/>
          </w:tcPr>
          <w:p>
            <w:pPr>
              <w:keepNext/>
              <w:spacing w:line="276" w:lineRule="auto" w:before="0" w:after="0"/>
              <w:ind w:firstLine="0"/>
              <w:jc w:val="center"/>
            </w:pPr>
            <w:r>
              <w:rPr>
                <w:b/>
                <w:sz w:val="19"/>
              </w:rPr>
              <w:t>相对历史参考改善</w:t>
            </w:r>
          </w:p>
        </w:tc>
      </w:tr>
      <w:tr>
        <w:trPr>
          <w:cantSplit/>
        </w:trPr>
        <w:tc>
          <w:tcPr>
            <w:tcW w:type="dxa" w:w="1134"/>
            <w:vAlign w:val="center"/>
            <w:tcMar>
              <w:top w:w="80" w:type="dxa"/>
              <w:left w:w="80" w:type="dxa"/>
              <w:bottom w:w="80" w:type="dxa"/>
              <w:right w:w="80" w:type="dxa"/>
            </w:tcMar>
          </w:tcPr>
          <w:p>
            <w:pPr>
              <w:spacing w:line="276" w:lineRule="auto" w:before="0" w:after="0"/>
              <w:ind w:firstLine="0"/>
              <w:jc w:val="center"/>
            </w:pPr>
            <w:r>
              <w:rPr>
                <w:b w:val="0"/>
                <w:sz w:val="19"/>
              </w:rPr>
              <w:t>旅行商</w:t>
            </w:r>
          </w:p>
        </w:tc>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T1</w:t>
            </w:r>
          </w:p>
        </w:tc>
        <w:tc>
          <w:tcPr>
            <w:tcW w:type="dxa" w:w="3969"/>
            <w:vAlign w:val="center"/>
            <w:tcMar>
              <w:top w:w="80" w:type="dxa"/>
              <w:left w:w="80" w:type="dxa"/>
              <w:bottom w:w="80" w:type="dxa"/>
              <w:right w:w="80" w:type="dxa"/>
            </w:tcMar>
          </w:tcPr>
          <w:p>
            <w:pPr>
              <w:spacing w:line="276" w:lineRule="auto" w:before="0" w:after="0"/>
              <w:ind w:firstLine="0"/>
              <w:jc w:val="center"/>
            </w:pPr>
            <w:r>
              <w:rPr>
                <w:b w:val="0"/>
                <w:sz w:val="19"/>
              </w:rPr>
              <w:t>剩余路径前瞻与动态距离权重</w:t>
            </w:r>
          </w:p>
        </w:tc>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6.00393</w:t>
            </w:r>
          </w:p>
        </w:tc>
        <w:tc>
          <w:tcPr>
            <w:tcW w:type="dxa" w:w="1984"/>
            <w:vAlign w:val="center"/>
            <w:tcMar>
              <w:top w:w="80" w:type="dxa"/>
              <w:left w:w="80" w:type="dxa"/>
              <w:bottom w:w="80" w:type="dxa"/>
              <w:right w:w="80" w:type="dxa"/>
            </w:tcMar>
          </w:tcPr>
          <w:p>
            <w:pPr>
              <w:spacing w:line="276" w:lineRule="auto" w:before="0" w:after="0"/>
              <w:ind w:firstLine="0"/>
              <w:jc w:val="center"/>
            </w:pPr>
            <w:r>
              <w:rPr>
                <w:b w:val="0"/>
                <w:sz w:val="19"/>
              </w:rPr>
              <w:t>8.48%</w:t>
            </w:r>
          </w:p>
        </w:tc>
      </w:tr>
      <w:tr>
        <w:trPr>
          <w:cantSplit/>
        </w:trPr>
        <w:tc>
          <w:tcPr>
            <w:tcW w:type="dxa" w:w="1134"/>
            <w:vAlign w:val="center"/>
            <w:tcMar>
              <w:top w:w="80" w:type="dxa"/>
              <w:left w:w="80" w:type="dxa"/>
              <w:bottom w:w="80" w:type="dxa"/>
              <w:right w:w="80" w:type="dxa"/>
            </w:tcMar>
          </w:tcPr>
          <w:p>
            <w:pPr>
              <w:spacing w:line="276" w:lineRule="auto" w:before="0" w:after="0"/>
              <w:ind w:firstLine="0"/>
              <w:jc w:val="center"/>
            </w:pPr>
            <w:r>
              <w:rPr>
                <w:b w:val="0"/>
                <w:sz w:val="19"/>
              </w:rPr>
              <w:t>旅行商</w:t>
            </w:r>
          </w:p>
        </w:tc>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T2</w:t>
            </w:r>
          </w:p>
        </w:tc>
        <w:tc>
          <w:tcPr>
            <w:tcW w:type="dxa" w:w="3969"/>
            <w:vAlign w:val="center"/>
            <w:tcMar>
              <w:top w:w="80" w:type="dxa"/>
              <w:left w:w="80" w:type="dxa"/>
              <w:bottom w:w="80" w:type="dxa"/>
              <w:right w:w="80" w:type="dxa"/>
            </w:tcMar>
          </w:tcPr>
          <w:p>
            <w:pPr>
              <w:spacing w:line="276" w:lineRule="auto" w:before="0" w:after="0"/>
              <w:ind w:firstLine="0"/>
              <w:jc w:val="center"/>
            </w:pPr>
            <w:r>
              <w:rPr>
                <w:b w:val="0"/>
                <w:sz w:val="19"/>
              </w:rPr>
              <w:t>起点距离比例与局部连接距离</w:t>
            </w:r>
          </w:p>
        </w:tc>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6.07352</w:t>
            </w:r>
          </w:p>
        </w:tc>
        <w:tc>
          <w:tcPr>
            <w:tcW w:type="dxa" w:w="1984"/>
            <w:vAlign w:val="center"/>
            <w:tcMar>
              <w:top w:w="80" w:type="dxa"/>
              <w:left w:w="80" w:type="dxa"/>
              <w:bottom w:w="80" w:type="dxa"/>
              <w:right w:w="80" w:type="dxa"/>
            </w:tcMar>
          </w:tcPr>
          <w:p>
            <w:pPr>
              <w:spacing w:line="276" w:lineRule="auto" w:before="0" w:after="0"/>
              <w:ind w:firstLine="0"/>
              <w:jc w:val="center"/>
            </w:pPr>
            <w:r>
              <w:rPr>
                <w:b w:val="0"/>
                <w:sz w:val="19"/>
              </w:rPr>
              <w:t>7.42%</w:t>
            </w:r>
          </w:p>
        </w:tc>
      </w:tr>
      <w:tr>
        <w:trPr>
          <w:cantSplit/>
        </w:trPr>
        <w:tc>
          <w:tcPr>
            <w:tcW w:type="dxa" w:w="1134"/>
            <w:vAlign w:val="center"/>
            <w:tcMar>
              <w:top w:w="80" w:type="dxa"/>
              <w:left w:w="80" w:type="dxa"/>
              <w:bottom w:w="80" w:type="dxa"/>
              <w:right w:w="80" w:type="dxa"/>
            </w:tcMar>
          </w:tcPr>
          <w:p>
            <w:pPr>
              <w:spacing w:line="276" w:lineRule="auto" w:before="0" w:after="0"/>
              <w:ind w:firstLine="0"/>
              <w:jc w:val="center"/>
            </w:pPr>
            <w:r>
              <w:rPr>
                <w:b w:val="0"/>
                <w:sz w:val="19"/>
              </w:rPr>
              <w:t>旅行商</w:t>
            </w:r>
          </w:p>
        </w:tc>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T3</w:t>
            </w:r>
          </w:p>
        </w:tc>
        <w:tc>
          <w:tcPr>
            <w:tcW w:type="dxa" w:w="3969"/>
            <w:vAlign w:val="center"/>
            <w:tcMar>
              <w:top w:w="80" w:type="dxa"/>
              <w:left w:w="80" w:type="dxa"/>
              <w:bottom w:w="80" w:type="dxa"/>
              <w:right w:w="80" w:type="dxa"/>
            </w:tcMar>
          </w:tcPr>
          <w:p>
            <w:pPr>
              <w:spacing w:line="276" w:lineRule="auto" w:before="0" w:after="0"/>
              <w:ind w:firstLine="0"/>
              <w:jc w:val="center"/>
            </w:pPr>
            <w:r>
              <w:rPr>
                <w:b w:val="0"/>
                <w:sz w:val="19"/>
              </w:rPr>
              <w:t>当前距离减去起点距离奖励</w:t>
            </w:r>
          </w:p>
        </w:tc>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6.07672</w:t>
            </w:r>
          </w:p>
        </w:tc>
        <w:tc>
          <w:tcPr>
            <w:tcW w:type="dxa" w:w="1984"/>
            <w:vAlign w:val="center"/>
            <w:tcMar>
              <w:top w:w="80" w:type="dxa"/>
              <w:left w:w="80" w:type="dxa"/>
              <w:bottom w:w="80" w:type="dxa"/>
              <w:right w:w="80" w:type="dxa"/>
            </w:tcMar>
          </w:tcPr>
          <w:p>
            <w:pPr>
              <w:spacing w:line="276" w:lineRule="auto" w:before="0" w:after="0"/>
              <w:ind w:firstLine="0"/>
              <w:jc w:val="center"/>
            </w:pPr>
            <w:r>
              <w:rPr>
                <w:b w:val="0"/>
                <w:sz w:val="19"/>
              </w:rPr>
              <w:t>7.37%</w:t>
            </w:r>
          </w:p>
        </w:tc>
      </w:tr>
      <w:tr>
        <w:trPr>
          <w:cantSplit/>
        </w:trPr>
        <w:tc>
          <w:tcPr>
            <w:tcW w:type="dxa" w:w="1134"/>
            <w:vAlign w:val="center"/>
            <w:tcMar>
              <w:top w:w="80" w:type="dxa"/>
              <w:left w:w="80" w:type="dxa"/>
              <w:bottom w:w="80" w:type="dxa"/>
              <w:right w:w="80" w:type="dxa"/>
            </w:tcMar>
          </w:tcPr>
          <w:p>
            <w:pPr>
              <w:spacing w:line="276" w:lineRule="auto" w:before="0" w:after="0"/>
              <w:ind w:firstLine="0"/>
              <w:jc w:val="center"/>
            </w:pPr>
            <w:r>
              <w:rPr>
                <w:b w:val="0"/>
                <w:sz w:val="19"/>
              </w:rPr>
              <w:t>车辆路径</w:t>
            </w:r>
          </w:p>
        </w:tc>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C1</w:t>
            </w:r>
          </w:p>
        </w:tc>
        <w:tc>
          <w:tcPr>
            <w:tcW w:type="dxa" w:w="3969"/>
            <w:vAlign w:val="center"/>
            <w:tcMar>
              <w:top w:w="80" w:type="dxa"/>
              <w:left w:w="80" w:type="dxa"/>
              <w:bottom w:w="80" w:type="dxa"/>
              <w:right w:w="80" w:type="dxa"/>
            </w:tcMar>
          </w:tcPr>
          <w:p>
            <w:pPr>
              <w:spacing w:line="276" w:lineRule="auto" w:before="0" w:after="0"/>
              <w:ind w:firstLine="0"/>
              <w:jc w:val="left"/>
            </w:pPr>
            <w:r>
              <w:rPr>
                <w:b w:val="0"/>
                <w:sz w:val="19"/>
              </w:rPr>
              <w:t>最远客户开线与容量触发的节约准则</w:t>
            </w:r>
          </w:p>
        </w:tc>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12.35639</w:t>
            </w:r>
          </w:p>
        </w:tc>
        <w:tc>
          <w:tcPr>
            <w:tcW w:type="dxa" w:w="1984"/>
            <w:vAlign w:val="center"/>
            <w:tcMar>
              <w:top w:w="80" w:type="dxa"/>
              <w:left w:w="80" w:type="dxa"/>
              <w:bottom w:w="80" w:type="dxa"/>
              <w:right w:w="80" w:type="dxa"/>
            </w:tcMar>
          </w:tcPr>
          <w:p>
            <w:pPr>
              <w:spacing w:line="276" w:lineRule="auto" w:before="0" w:after="0"/>
              <w:ind w:firstLine="0"/>
              <w:jc w:val="center"/>
            </w:pPr>
            <w:r>
              <w:rPr>
                <w:b w:val="0"/>
                <w:sz w:val="19"/>
              </w:rPr>
              <w:t>8.60%</w:t>
            </w:r>
          </w:p>
        </w:tc>
      </w:tr>
      <w:tr>
        <w:trPr>
          <w:cantSplit/>
        </w:trPr>
        <w:tc>
          <w:tcPr>
            <w:tcW w:type="dxa" w:w="1134"/>
            <w:vAlign w:val="center"/>
            <w:tcMar>
              <w:top w:w="80" w:type="dxa"/>
              <w:left w:w="80" w:type="dxa"/>
              <w:bottom w:w="80" w:type="dxa"/>
              <w:right w:w="80" w:type="dxa"/>
            </w:tcMar>
          </w:tcPr>
          <w:p>
            <w:pPr>
              <w:spacing w:line="276" w:lineRule="auto" w:before="0" w:after="0"/>
              <w:ind w:firstLine="0"/>
              <w:jc w:val="center"/>
            </w:pPr>
            <w:r>
              <w:rPr>
                <w:b w:val="0"/>
                <w:sz w:val="19"/>
              </w:rPr>
              <w:t>车辆路径</w:t>
            </w:r>
          </w:p>
        </w:tc>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C2</w:t>
            </w:r>
          </w:p>
        </w:tc>
        <w:tc>
          <w:tcPr>
            <w:tcW w:type="dxa" w:w="3969"/>
            <w:vAlign w:val="center"/>
            <w:tcMar>
              <w:top w:w="80" w:type="dxa"/>
              <w:left w:w="80" w:type="dxa"/>
              <w:bottom w:w="80" w:type="dxa"/>
              <w:right w:w="80" w:type="dxa"/>
            </w:tcMar>
          </w:tcPr>
          <w:p>
            <w:pPr>
              <w:spacing w:line="276" w:lineRule="auto" w:before="0" w:after="0"/>
              <w:ind w:firstLine="0"/>
              <w:jc w:val="left"/>
            </w:pPr>
            <w:r>
              <w:rPr>
                <w:b w:val="0"/>
                <w:sz w:val="19"/>
              </w:rPr>
              <w:t>节约型客户排序与另一回仓条件</w:t>
            </w:r>
          </w:p>
        </w:tc>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12.42319</w:t>
            </w:r>
          </w:p>
        </w:tc>
        <w:tc>
          <w:tcPr>
            <w:tcW w:type="dxa" w:w="1984"/>
            <w:vAlign w:val="center"/>
            <w:tcMar>
              <w:top w:w="80" w:type="dxa"/>
              <w:left w:w="80" w:type="dxa"/>
              <w:bottom w:w="80" w:type="dxa"/>
              <w:right w:w="80" w:type="dxa"/>
            </w:tcMar>
          </w:tcPr>
          <w:p>
            <w:pPr>
              <w:spacing w:line="276" w:lineRule="auto" w:before="0" w:after="0"/>
              <w:ind w:firstLine="0"/>
              <w:jc w:val="center"/>
            </w:pPr>
            <w:r>
              <w:rPr>
                <w:b w:val="0"/>
                <w:sz w:val="19"/>
              </w:rPr>
              <w:t>8.11%</w:t>
            </w:r>
          </w:p>
        </w:tc>
      </w:tr>
      <w:tr>
        <w:trPr>
          <w:cantSplit/>
        </w:trPr>
        <w:tc>
          <w:tcPr>
            <w:tcW w:type="dxa" w:w="1134"/>
            <w:vAlign w:val="center"/>
            <w:tcMar>
              <w:top w:w="80" w:type="dxa"/>
              <w:left w:w="80" w:type="dxa"/>
              <w:bottom w:w="80" w:type="dxa"/>
              <w:right w:w="80" w:type="dxa"/>
            </w:tcMar>
          </w:tcPr>
          <w:p>
            <w:pPr>
              <w:spacing w:line="276" w:lineRule="auto" w:before="0" w:after="0"/>
              <w:ind w:firstLine="0"/>
              <w:jc w:val="center"/>
            </w:pPr>
            <w:r>
              <w:rPr>
                <w:b w:val="0"/>
                <w:sz w:val="19"/>
              </w:rPr>
              <w:t>车辆路径</w:t>
            </w:r>
          </w:p>
        </w:tc>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C3</w:t>
            </w:r>
          </w:p>
        </w:tc>
        <w:tc>
          <w:tcPr>
            <w:tcW w:type="dxa" w:w="3969"/>
            <w:vAlign w:val="center"/>
            <w:tcMar>
              <w:top w:w="80" w:type="dxa"/>
              <w:left w:w="80" w:type="dxa"/>
              <w:bottom w:w="80" w:type="dxa"/>
              <w:right w:w="80" w:type="dxa"/>
            </w:tcMar>
          </w:tcPr>
          <w:p>
            <w:pPr>
              <w:spacing w:line="276" w:lineRule="auto" w:before="0" w:after="0"/>
              <w:ind w:firstLine="0"/>
              <w:jc w:val="center"/>
            </w:pPr>
            <w:r>
              <w:rPr>
                <w:b w:val="0"/>
                <w:sz w:val="19"/>
              </w:rPr>
              <w:t>随剩余容量变化的距离组合</w:t>
            </w:r>
          </w:p>
        </w:tc>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12.43290</w:t>
            </w:r>
          </w:p>
        </w:tc>
        <w:tc>
          <w:tcPr>
            <w:tcW w:type="dxa" w:w="1984"/>
            <w:vAlign w:val="center"/>
            <w:tcMar>
              <w:top w:w="80" w:type="dxa"/>
              <w:left w:w="80" w:type="dxa"/>
              <w:bottom w:w="80" w:type="dxa"/>
              <w:right w:w="80" w:type="dxa"/>
            </w:tcMar>
          </w:tcPr>
          <w:p>
            <w:pPr>
              <w:spacing w:line="276" w:lineRule="auto" w:before="0" w:after="0"/>
              <w:ind w:firstLine="0"/>
              <w:jc w:val="center"/>
            </w:pPr>
            <w:r>
              <w:rPr>
                <w:b w:val="0"/>
                <w:sz w:val="19"/>
              </w:rPr>
              <w:t>8.03%</w:t>
            </w:r>
          </w:p>
        </w:tc>
      </w:tr>
      <w:tr>
        <w:trPr>
          <w:cantSplit/>
        </w:trPr>
        <w:tc>
          <w:tcPr>
            <w:tcW w:type="dxa" w:w="1134"/>
            <w:vAlign w:val="center"/>
            <w:tcMar>
              <w:top w:w="80" w:type="dxa"/>
              <w:left w:w="80" w:type="dxa"/>
              <w:bottom w:w="80" w:type="dxa"/>
              <w:right w:w="80" w:type="dxa"/>
            </w:tcMar>
          </w:tcPr>
          <w:p>
            <w:pPr>
              <w:spacing w:line="276" w:lineRule="auto" w:before="0" w:after="0"/>
              <w:ind w:firstLine="0"/>
              <w:jc w:val="center"/>
            </w:pPr>
            <w:r>
              <w:rPr>
                <w:b w:val="0"/>
                <w:sz w:val="19"/>
              </w:rPr>
              <w:t>在线装箱</w:t>
            </w:r>
          </w:p>
        </w:tc>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B1</w:t>
            </w:r>
          </w:p>
        </w:tc>
        <w:tc>
          <w:tcPr>
            <w:tcW w:type="dxa" w:w="3969"/>
            <w:vAlign w:val="center"/>
            <w:tcMar>
              <w:top w:w="80" w:type="dxa"/>
              <w:left w:w="80" w:type="dxa"/>
              <w:bottom w:w="80" w:type="dxa"/>
              <w:right w:w="80" w:type="dxa"/>
            </w:tcMar>
          </w:tcPr>
          <w:p>
            <w:pPr>
              <w:spacing w:line="276" w:lineRule="auto" w:before="0" w:after="0"/>
              <w:ind w:firstLine="0"/>
              <w:jc w:val="center"/>
            </w:pPr>
            <w:r>
              <w:rPr>
                <w:b w:val="0"/>
                <w:sz w:val="19"/>
              </w:rPr>
              <w:t>利用率奖励与分段残差惩罚</w:t>
            </w:r>
          </w:p>
        </w:tc>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0.00674</w:t>
            </w:r>
          </w:p>
        </w:tc>
        <w:tc>
          <w:tcPr>
            <w:tcW w:type="dxa" w:w="1984"/>
            <w:vAlign w:val="center"/>
            <w:tcMar>
              <w:top w:w="80" w:type="dxa"/>
              <w:left w:w="80" w:type="dxa"/>
              <w:bottom w:w="80" w:type="dxa"/>
              <w:right w:w="80" w:type="dxa"/>
            </w:tcMar>
          </w:tcPr>
          <w:p>
            <w:pPr>
              <w:spacing w:line="276" w:lineRule="auto" w:before="0" w:after="0"/>
              <w:ind w:firstLine="0"/>
              <w:jc w:val="center"/>
            </w:pPr>
            <w:r>
              <w:rPr>
                <w:b w:val="0"/>
                <w:sz w:val="19"/>
              </w:rPr>
              <w:t>83.07%</w:t>
            </w:r>
          </w:p>
        </w:tc>
      </w:tr>
      <w:tr>
        <w:trPr>
          <w:cantSplit/>
        </w:trPr>
        <w:tc>
          <w:tcPr>
            <w:tcW w:type="dxa" w:w="1134"/>
            <w:vAlign w:val="center"/>
            <w:tcMar>
              <w:top w:w="80" w:type="dxa"/>
              <w:left w:w="80" w:type="dxa"/>
              <w:bottom w:w="80" w:type="dxa"/>
              <w:right w:w="80" w:type="dxa"/>
            </w:tcMar>
          </w:tcPr>
          <w:p>
            <w:pPr>
              <w:spacing w:line="276" w:lineRule="auto" w:before="0" w:after="0"/>
              <w:ind w:firstLine="0"/>
              <w:jc w:val="center"/>
            </w:pPr>
            <w:r>
              <w:rPr>
                <w:b w:val="0"/>
                <w:sz w:val="19"/>
              </w:rPr>
              <w:t>在线装箱</w:t>
            </w:r>
          </w:p>
        </w:tc>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B2</w:t>
            </w:r>
          </w:p>
        </w:tc>
        <w:tc>
          <w:tcPr>
            <w:tcW w:type="dxa" w:w="3969"/>
            <w:vAlign w:val="center"/>
            <w:tcMar>
              <w:top w:w="80" w:type="dxa"/>
              <w:left w:w="80" w:type="dxa"/>
              <w:bottom w:w="80" w:type="dxa"/>
              <w:right w:w="80" w:type="dxa"/>
            </w:tcMar>
          </w:tcPr>
          <w:p>
            <w:pPr>
              <w:spacing w:line="276" w:lineRule="auto" w:before="0" w:after="0"/>
              <w:ind w:firstLine="0"/>
              <w:jc w:val="center"/>
            </w:pPr>
            <w:r>
              <w:rPr>
                <w:b w:val="0"/>
                <w:sz w:val="19"/>
              </w:rPr>
              <w:t>残差幂次倒数与半箱偏离惩罚</w:t>
            </w:r>
          </w:p>
        </w:tc>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0.00694</w:t>
            </w:r>
          </w:p>
        </w:tc>
        <w:tc>
          <w:tcPr>
            <w:tcW w:type="dxa" w:w="1984"/>
            <w:vAlign w:val="center"/>
            <w:tcMar>
              <w:top w:w="80" w:type="dxa"/>
              <w:left w:w="80" w:type="dxa"/>
              <w:bottom w:w="80" w:type="dxa"/>
              <w:right w:w="80" w:type="dxa"/>
            </w:tcMar>
          </w:tcPr>
          <w:p>
            <w:pPr>
              <w:spacing w:line="276" w:lineRule="auto" w:before="0" w:after="0"/>
              <w:ind w:firstLine="0"/>
              <w:jc w:val="center"/>
            </w:pPr>
            <w:r>
              <w:rPr>
                <w:b w:val="0"/>
                <w:sz w:val="19"/>
              </w:rPr>
              <w:t>82.56%</w:t>
            </w:r>
          </w:p>
        </w:tc>
      </w:tr>
      <w:tr>
        <w:trPr>
          <w:cantSplit/>
        </w:trPr>
        <w:tc>
          <w:tcPr>
            <w:tcW w:type="dxa" w:w="1134"/>
            <w:vAlign w:val="center"/>
            <w:tcMar>
              <w:top w:w="80" w:type="dxa"/>
              <w:left w:w="80" w:type="dxa"/>
              <w:bottom w:w="80" w:type="dxa"/>
              <w:right w:w="80" w:type="dxa"/>
            </w:tcMar>
          </w:tcPr>
          <w:p>
            <w:pPr>
              <w:spacing w:line="276" w:lineRule="auto" w:before="0" w:after="0"/>
              <w:ind w:firstLine="0"/>
              <w:jc w:val="center"/>
            </w:pPr>
            <w:r>
              <w:rPr>
                <w:b w:val="0"/>
                <w:sz w:val="19"/>
              </w:rPr>
              <w:t>在线装箱</w:t>
            </w:r>
          </w:p>
        </w:tc>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B3</w:t>
            </w:r>
          </w:p>
        </w:tc>
        <w:tc>
          <w:tcPr>
            <w:tcW w:type="dxa" w:w="3969"/>
            <w:vAlign w:val="center"/>
            <w:tcMar>
              <w:top w:w="80" w:type="dxa"/>
              <w:left w:w="80" w:type="dxa"/>
              <w:bottom w:w="80" w:type="dxa"/>
              <w:right w:w="80" w:type="dxa"/>
            </w:tcMar>
          </w:tcPr>
          <w:p>
            <w:pPr>
              <w:spacing w:line="276" w:lineRule="auto" w:before="0" w:after="0"/>
              <w:ind w:firstLine="0"/>
              <w:jc w:val="center"/>
            </w:pPr>
            <w:r>
              <w:rPr>
                <w:b w:val="0"/>
                <w:sz w:val="19"/>
              </w:rPr>
              <w:t>残差倒数与相对剩余容量峰值</w:t>
            </w:r>
          </w:p>
        </w:tc>
        <w:tc>
          <w:tcPr>
            <w:tcW w:type="dxa" w:w="1304"/>
            <w:vAlign w:val="center"/>
            <w:tcMar>
              <w:top w:w="80" w:type="dxa"/>
              <w:left w:w="80" w:type="dxa"/>
              <w:bottom w:w="80" w:type="dxa"/>
              <w:right w:w="80" w:type="dxa"/>
            </w:tcMar>
          </w:tcPr>
          <w:p>
            <w:pPr>
              <w:spacing w:line="276" w:lineRule="auto" w:before="0" w:after="0"/>
              <w:ind w:firstLine="0"/>
              <w:jc w:val="center"/>
            </w:pPr>
            <w:r>
              <w:rPr>
                <w:b w:val="0"/>
                <w:sz w:val="19"/>
              </w:rPr>
              <w:t>0.00714</w:t>
            </w:r>
          </w:p>
        </w:tc>
        <w:tc>
          <w:tcPr>
            <w:tcW w:type="dxa" w:w="1984"/>
            <w:vAlign w:val="center"/>
            <w:tcMar>
              <w:top w:w="80" w:type="dxa"/>
              <w:left w:w="80" w:type="dxa"/>
              <w:bottom w:w="80" w:type="dxa"/>
              <w:right w:w="80" w:type="dxa"/>
            </w:tcMar>
          </w:tcPr>
          <w:p>
            <w:pPr>
              <w:spacing w:line="276" w:lineRule="auto" w:before="0" w:after="0"/>
              <w:ind w:firstLine="0"/>
              <w:jc w:val="center"/>
            </w:pPr>
            <w:r>
              <w:rPr>
                <w:b w:val="0"/>
                <w:sz w:val="19"/>
              </w:rPr>
              <w:t>82.06%</w:t>
            </w:r>
          </w:p>
        </w:tc>
      </w:tr>
    </w:tbl>
    <w:p>
      <w:pPr>
        <w:spacing w:after="0"/>
      </w:pPr>
    </w:p>
    <w:p>
      <w:pPr>
        <w:jc w:val="both"/>
      </w:pPr>
      <w:r>
        <w:rPr>
          <w:b w:val="0"/>
        </w:rPr>
        <w:t>同一舍入后的目标值可能对应多个不同规则。例如，装箱目标0.00694至少对应幂次为1.5与另一平方倒数形式的不同变体。本文B2固定讨论前者，不以目标值相同推断规则相同，也不混合不同变体的解释。</w:t>
      </w:r>
    </w:p>
    <w:p>
      <w:pPr>
        <w:pStyle w:val="Heading2"/>
      </w:pPr>
      <w:r>
        <w:t>6.2 旅行商规则的前瞻与几何偏好</w:t>
      </w:r>
    </w:p>
    <w:p>
      <w:pPr>
        <w:jc w:val="both"/>
      </w:pPr>
      <w:r>
        <w:rPr>
          <w:b w:val="0"/>
        </w:rPr>
        <w:t>T1不仅考虑当前边长，还估计选择候选城市 u 后完成剩余路径的代价。对未访问城市数 m≥4 的情形，其评分可概括为</w:t>
      </w:r>
    </w:p>
    <w:p>
      <w:pPr>
        <w:spacing w:before="120" w:after="160" w:line="276" w:lineRule="auto"/>
        <w:ind w:firstLine="0"/>
        <w:jc w:val="center"/>
      </w:pPr>
      <m:oMathPara>
        <m:oMath>
          <m:r>
            <m:t>S(u)=</m:t>
          </m:r>
          <m:sSub>
            <m:e>
              <m:r>
                <m:t>w</m:t>
              </m:r>
            </m:e>
            <m:sub>
              <m:r>
                <m:t>1</m:t>
              </m:r>
            </m:sub>
          </m:sSub>
          <m:sSub>
            <m:e>
              <m:r>
                <m:t>d</m:t>
              </m:r>
            </m:e>
            <m:sub>
              <m:r>
                <m:t>iu</m:t>
              </m:r>
            </m:sub>
          </m:sSub>
          <m:r>
            <m:t>+</m:t>
          </m:r>
          <m:sSub>
            <m:e>
              <m:r>
                <m:t>w</m:t>
              </m:r>
            </m:e>
            <m:sub>
              <m:r>
                <m:t>2</m:t>
              </m:r>
            </m:sub>
          </m:sSub>
          <m:sSub>
            <m:e>
              <m:r>
                <m:t>L</m:t>
              </m:r>
            </m:e>
            <m:sub>
              <m:r>
                <m:rPr>
                  <m:sty m:val="p"/>
                </m:rPr>
                <m:t>NN</m:t>
              </m:r>
            </m:sub>
          </m:sSub>
          <m:r>
            <m:t>(u)−</m:t>
          </m:r>
          <m:sSub>
            <m:e>
              <m:r>
                <m:t>w</m:t>
              </m:r>
            </m:e>
            <m:sub>
              <m:r>
                <m:t>3</m:t>
              </m:r>
            </m:sub>
          </m:sSub>
          <m:sSub>
            <m:e>
              <m:r>
                <m:t>Δ</m:t>
              </m:r>
            </m:e>
            <m:sub>
              <m:r>
                <m:t>i</m:t>
              </m:r>
            </m:sub>
          </m:sSub>
          <m:r>
            <m:t>(u)+0.2</m:t>
          </m:r>
          <m:sSub>
            <m:e>
              <m:r>
                <m:t>P</m:t>
              </m:r>
            </m:e>
            <m:sub>
              <m:r>
                <m:t>i</m:t>
              </m:r>
            </m:sub>
          </m:sSub>
          <m:r>
            <m:t>(u).</m:t>
          </m:r>
        </m:oMath>
      </m:oMathPara>
    </w:p>
    <w:p>
      <w:pPr>
        <w:jc w:val="both"/>
      </w:pPr>
      <w:r>
        <w:rPr>
          <w:b w:val="0"/>
        </w:rPr>
        <w:t>其中，</w:t>
      </w:r>
      <m:oMath>
        <m:sSub>
          <m:e>
            <m:r>
              <m:t>L</m:t>
            </m:r>
          </m:e>
          <m:sub>
            <m:r>
              <m:rPr>
                <m:sty m:val="p"/>
              </m:rPr>
              <m:t>NN</m:t>
            </m:r>
          </m:sub>
        </m:sSub>
        <m:r>
          <m:t>(u)</m:t>
        </m:r>
      </m:oMath>
      <w:r>
        <w:rPr>
          <w:b w:val="0"/>
        </w:rPr>
        <w:t xml:space="preserve"> 表示从 u 出发，以最近邻方式依次经过其余未访问城市并返回起点的估计长度；Δᵢ(u) 是当前城市到其余候选城市的最远距离与最近距离之差；Pᵢ(u) 惩罚显著长于当前城市典型邻边的选择。三个动态权重为</w:t>
      </w:r>
    </w:p>
    <w:p>
      <w:pPr>
        <w:spacing w:before="120" w:after="160" w:line="276" w:lineRule="auto"/>
        <w:ind w:firstLine="0"/>
        <w:jc w:val="center"/>
      </w:pPr>
      <m:oMathPara>
        <m:oMath>
          <m:sSub>
            <m:e>
              <m:r>
                <m:t>w</m:t>
              </m:r>
            </m:e>
            <m:sub>
              <m:r>
                <m:t>1</m:t>
              </m:r>
            </m:sub>
          </m:sSub>
          <m:r>
            <m:t>=1+0.5(1−m/n),</m:t>
          </m:r>
          <m:r>
            <m:rPr>
              <m:nor/>
            </m:rPr>
            <m:t>  </m:t>
          </m:r>
          <m:sSub>
            <m:e>
              <m:r>
                <m:t>w</m:t>
              </m:r>
            </m:e>
            <m:sub>
              <m:r>
                <m:t>2</m:t>
              </m:r>
            </m:sub>
          </m:sSub>
          <m:r>
            <m:t>=0.6m/n,</m:t>
          </m:r>
          <m:r>
            <m:rPr>
              <m:nor/>
            </m:rPr>
            <m:t>  </m:t>
          </m:r>
          <m:sSub>
            <m:e>
              <m:r>
                <m:t>w</m:t>
              </m:r>
            </m:e>
            <m:sub>
              <m:r>
                <m:t>3</m:t>
              </m:r>
            </m:sub>
          </m:sSub>
          <m:r>
            <m:t>=0.4m/n.</m:t>
          </m:r>
        </m:oMath>
      </m:oMathPara>
    </w:p>
    <w:p>
      <w:pPr>
        <w:jc w:val="both"/>
      </w:pPr>
      <w:r>
        <w:rPr>
          <w:b w:val="0"/>
        </w:rPr>
        <w:t>随着剩余城市减少，当前边权重增加，完整剩余路径估价和距离分散度项的权重下降。剩余城市较少时，规则转为更简单的选择。其主要机制是用有限前瞻修正短视的最近邻决策。</w:t>
      </w:r>
    </w:p>
    <w:p>
      <w:pPr>
        <w:jc w:val="both"/>
      </w:pPr>
      <w:r>
        <w:rPr>
          <w:b w:val="0"/>
        </w:rPr>
        <w:t>Δᵢ(u) 虽在早期描述中被称为后悔值，但它不是经典插入算法中“次优插入代价减去最优插入代价”的后悔值。它描述的是当前点到其余候选点的距离范围。对于不改变最近点和最远点集合的许多候选，该项可能相同，实际区分作用因状态而异。类似地，长边惩罚只是评分项，并未执行两条边的交换。</w:t>
      </w:r>
    </w:p>
    <w:p>
      <w:pPr>
        <w:jc w:val="both"/>
      </w:pPr>
      <w:r>
        <w:rPr>
          <w:b w:val="0"/>
        </w:rPr>
        <w:t>T1的性能还涉及计算代价。每个候选都要估计一条剩余最近邻路径，其决策工作量高于只比较一次距离的规则。在未统一测量启发式自身运行时间之前，较短路径不能被直接表述为更高求解效率。</w:t>
      </w:r>
    </w:p>
    <w:p>
      <w:pPr>
        <w:jc w:val="both"/>
      </w:pPr>
      <w:r>
        <w:rPr>
          <w:b w:val="0"/>
        </w:rPr>
        <w:t>T2采用两个归一化量：一是起点距离在“当前距离与起点距离之和”中的占比，二是当前边相对于候选城市平均剩余连接距离的比值。前者倾向于较早处理相对远离起点的城市，后者避免因只考虑起点距离而接受过长的当前边。它没有显式模拟完整剩余路径，是一种利用局部几何关系的替代估计。</w:t>
      </w:r>
    </w:p>
    <w:p>
      <w:pPr>
        <w:jc w:val="both"/>
      </w:pPr>
      <w:r>
        <w:rPr>
          <w:b w:val="0"/>
        </w:rPr>
        <w:t>T3的形式更简洁，选择使下式最小的候选城市：</w:t>
      </w:r>
    </w:p>
    <w:p>
      <w:pPr>
        <w:spacing w:before="120" w:after="160" w:line="276" w:lineRule="auto"/>
        <w:ind w:firstLine="0"/>
        <w:jc w:val="center"/>
      </w:pPr>
      <m:oMathPara>
        <m:oMath>
          <m:r>
            <m:t>S(u)=</m:t>
          </m:r>
          <m:sSub>
            <m:e>
              <m:r>
                <m:t>d</m:t>
              </m:r>
            </m:e>
            <m:sub>
              <m:r>
                <m:t>iu</m:t>
              </m:r>
            </m:sub>
          </m:sSub>
          <m:r>
            <m:t>−0.5</m:t>
          </m:r>
          <m:sSub>
            <m:e>
              <m:r>
                <m:t>d</m:t>
              </m:r>
            </m:e>
            <m:sub>
              <m:r>
                <m:t>ou</m:t>
              </m:r>
            </m:sub>
          </m:sSub>
          <m:r>
            <m:t>.</m:t>
          </m:r>
        </m:oMath>
      </m:oMathPara>
    </w:p>
    <w:p>
      <w:pPr>
        <w:jc w:val="both"/>
      </w:pPr>
      <w:r>
        <w:rPr>
          <w:b w:val="0"/>
        </w:rPr>
        <w:t>第一项偏好较近的下一城市，第二项奖励远离最终返回起点的城市。二者共同体现“当前移动成本”与“将远端城市留到最后的风险”之间的权衡。T3结果只略逊于T2，说明在这些小规模固定实例上，较简单的几何组合也可能接近更复杂的规则。该观察尚不能推出复杂前瞻在更大规模下没有价值。</w:t>
      </w:r>
    </w:p>
    <w:p>
      <w:pPr>
        <w:pStyle w:val="Heading2"/>
      </w:pPr>
      <w:r>
        <w:t>6.3 车辆路径规则的等价排序与状态切换</w:t>
      </w:r>
    </w:p>
    <w:p>
      <w:pPr>
        <w:jc w:val="both"/>
      </w:pPr>
      <w:r>
        <w:rPr>
          <w:b w:val="0"/>
        </w:rPr>
        <w:t>C1首先选择距仓库最远的可行客户开启路线。车辆离开仓库后，在剩余容量满足条件时选择节约值最大的客户：</w:t>
      </w:r>
    </w:p>
    <w:p>
      <w:pPr>
        <w:spacing w:before="120" w:after="160" w:line="276" w:lineRule="auto"/>
        <w:ind w:firstLine="0"/>
        <w:jc w:val="center"/>
      </w:pPr>
      <m:oMathPara>
        <m:oMath>
          <m:r>
            <m:t>s(i,u)=</m:t>
          </m:r>
          <m:sSub>
            <m:e>
              <m:r>
                <m:t>d</m:t>
              </m:r>
            </m:e>
            <m:sub>
              <m:r>
                <m:t>0u</m:t>
              </m:r>
            </m:sub>
          </m:sSub>
          <m:r>
            <m:t>+</m:t>
          </m:r>
          <m:sSub>
            <m:e>
              <m:r>
                <m:t>d</m:t>
              </m:r>
            </m:e>
            <m:sub>
              <m:r>
                <m:t>0i</m:t>
              </m:r>
            </m:sub>
          </m:sSub>
          <m:r>
            <m:t>−</m:t>
          </m:r>
          <m:sSub>
            <m:e>
              <m:r>
                <m:t>d</m:t>
              </m:r>
            </m:e>
            <m:sub>
              <m:r>
                <m:t>iu</m:t>
              </m:r>
            </m:sub>
          </m:sSub>
          <m:r>
            <m:t>.</m:t>
          </m:r>
        </m:oMath>
      </m:oMathPara>
    </w:p>
    <w:p>
      <w:pPr>
        <w:jc w:val="both"/>
      </w:pPr>
      <w:r>
        <w:rPr>
          <w:b w:val="0"/>
        </w:rPr>
        <w:t>这一表达与经典节约思想相联系[3]，但此处只作为逐点构造时的客户排序依据，不能等同于完整的路线合并算法。对给定当前节点 i，d₀ᵢ 对所有候选均为常数，因此有</w:t>
      </w:r>
    </w:p>
    <w:p>
      <w:pPr>
        <w:spacing w:before="120" w:after="160" w:line="276" w:lineRule="auto"/>
        <w:ind w:firstLine="0"/>
        <w:jc w:val="center"/>
      </w:pPr>
      <m:oMathPara>
        <m:oMath>
          <m:r>
            <m:rPr>
              <m:sty m:val="p"/>
            </m:rPr>
            <m:t>arg</m:t>
          </m:r>
          <m:r>
            <m:rPr>
              <m:nor/>
            </m:rPr>
            <m:t> </m:t>
          </m:r>
          <m:limLow>
            <m:e>
              <m:r>
                <m:rPr>
                  <m:sty m:val="p"/>
                </m:rPr>
                <m:t>max</m:t>
              </m:r>
            </m:e>
            <m:lim>
              <m:r>
                <m:t>u</m:t>
              </m:r>
            </m:lim>
          </m:limLow>
          <m:r>
            <m:rPr>
              <m:nor/>
            </m:rPr>
            <m:t> </m:t>
          </m:r>
          <m:r>
            <m:t>s(i,u)=</m:t>
          </m:r>
          <m:r>
            <m:rPr>
              <m:sty m:val="p"/>
            </m:rPr>
            <m:t>arg</m:t>
          </m:r>
          <m:r>
            <m:rPr>
              <m:nor/>
            </m:rPr>
            <m:t> </m:t>
          </m:r>
          <m:limLow>
            <m:e>
              <m:r>
                <m:rPr>
                  <m:sty m:val="p"/>
                </m:rPr>
                <m:t>min</m:t>
              </m:r>
            </m:e>
            <m:lim>
              <m:r>
                <m:t>u</m:t>
              </m:r>
            </m:lim>
          </m:limLow>
          <m:r>
            <m:rPr>
              <m:nor/>
            </m:rPr>
            <m:t> </m:t>
          </m:r>
          <m:d>
            <m:dPr>
              <m:sepChr m:val=""/>
            </m:dPr>
            <m:e>
              <m:sSub>
                <m:e>
                  <m:r>
                    <m:t>d</m:t>
                  </m:r>
                </m:e>
                <m:sub>
                  <m:r>
                    <m:t>iu</m:t>
                  </m:r>
                </m:sub>
              </m:sSub>
              <m:r>
                <m:t>−</m:t>
              </m:r>
              <m:sSub>
                <m:e>
                  <m:r>
                    <m:t>d</m:t>
                  </m:r>
                </m:e>
                <m:sub>
                  <m:r>
                    <m:t>0u</m:t>
                  </m:r>
                </m:sub>
              </m:sSub>
            </m:e>
          </m:d>
          <m:r>
            <m:t>.</m:t>
          </m:r>
        </m:oMath>
      </m:oMathPara>
    </w:p>
    <w:p>
      <w:pPr>
        <w:jc w:val="both"/>
      </w:pPr>
      <w:r>
        <w:rPr>
          <w:b w:val="0"/>
        </w:rPr>
        <w:t>这表明该排序同时偏好当前较近且距仓库较远的客户。C1的容量条件以剩余容量相对于两倍最大客户需求的比值为依据，而不是以车辆总容量的固定百分比为依据。当该比值不超过0.4时，规则改为检查最近客户是否足够近；只有当前点到该客户的距离小于当前点到仓库距离的0.7倍时才继续，否则回仓。</w:t>
      </w:r>
    </w:p>
    <w:p>
      <w:pPr>
        <w:jc w:val="both"/>
      </w:pPr>
      <w:r>
        <w:rPr>
          <w:b w:val="0"/>
        </w:rPr>
        <w:t>C2将同一表达描述为“现在服务”与“留到下一条路线”的代价差。展开其比较量可知，它仍按 d₀ᵤ+d₀ᵢ−dᵢᵤ 最大的顺序选择客户。因此，C1与C2在使用该准则的相同状态下具有相同的候选排序。二者的重要差异是容量条件和提前回仓条件，而非两种完全不同的排序机制。</w:t>
      </w:r>
    </w:p>
    <w:p>
      <w:pPr>
        <w:jc w:val="both"/>
      </w:pPr>
      <w:r>
        <w:rPr>
          <w:b w:val="0"/>
        </w:rPr>
        <w:t>这一等价关系对解释实验十分关键。如果把C1称为“节约法”、C2称为“后悔值法”，再将两者分数差解释成两个算法家族的优劣，就会混淆命名与数学行为。更准确的研究问题是：在类似节约排序下，不同的容量触发与回仓规则如何改变客户分配和总路线长度。</w:t>
      </w:r>
    </w:p>
    <w:p>
      <w:pPr>
        <w:jc w:val="both"/>
      </w:pPr>
      <w:r>
        <w:rPr>
          <w:b w:val="0"/>
        </w:rPr>
        <w:t>C3的客户评分为</w:t>
      </w:r>
    </w:p>
    <w:p>
      <w:pPr>
        <w:spacing w:before="120" w:after="160" w:line="276" w:lineRule="auto"/>
        <w:ind w:firstLine="0"/>
        <w:jc w:val="center"/>
      </w:pPr>
      <m:oMathPara>
        <m:oMath>
          <m:r>
            <m:t>S(u)=α</m:t>
          </m:r>
          <m:sSub>
            <m:e>
              <m:r>
                <m:t>d</m:t>
              </m:r>
            </m:e>
            <m:sub>
              <m:r>
                <m:t>iu</m:t>
              </m:r>
            </m:sub>
          </m:sSub>
          <m:r>
            <m:t>+(1−α)</m:t>
          </m:r>
          <m:sSub>
            <m:e>
              <m:r>
                <m:t>d</m:t>
              </m:r>
            </m:e>
            <m:sub>
              <m:r>
                <m:t>0u</m:t>
              </m:r>
            </m:sub>
          </m:sSub>
          <m:r>
            <m:t>,</m:t>
          </m:r>
          <m:r>
            <m:rPr>
              <m:nor/>
            </m:rPr>
            <m:t>  </m:t>
          </m:r>
          <m:r>
            <m:t>α=</m:t>
          </m:r>
          <m:f>
            <m:fPr>
              <m:type m:val="bar"/>
            </m:fPr>
            <m:num>
              <m:sSub>
                <m:e>
                  <m:r>
                    <m:t>Q</m:t>
                  </m:r>
                </m:e>
                <m:sub>
                  <m:r>
                    <m:rPr>
                      <m:sty m:val="p"/>
                    </m:rPr>
                    <m:t>rem</m:t>
                  </m:r>
                </m:sub>
              </m:sSub>
            </m:num>
            <m:den>
              <m:sSub>
                <m:e>
                  <m:r>
                    <m:t>q</m:t>
                  </m:r>
                </m:e>
                <m:sub>
                  <m:r>
                    <m:rPr>
                      <m:sty m:val="p"/>
                    </m:rPr>
                    <m:t>max</m:t>
                  </m:r>
                  <m:r>
                    <m:rPr>
                      <m:nor/>
                    </m:rPr>
                    <m:t> </m:t>
                  </m:r>
                </m:sub>
              </m:sSub>
            </m:den>
          </m:f>
          <m:r>
            <m:t>.</m:t>
          </m:r>
        </m:oMath>
      </m:oMathPara>
    </w:p>
    <w:p>
      <w:pPr>
        <w:jc w:val="both"/>
      </w:pPr>
      <w:r>
        <w:rPr>
          <w:b w:val="0"/>
        </w:rPr>
        <w:t xml:space="preserve">其中 </w:t>
      </w:r>
      <m:oMath>
        <m:sSub>
          <m:e>
            <m:r>
              <m:t>Q</m:t>
            </m:r>
          </m:e>
          <m:sub>
            <m:r>
              <m:rPr>
                <m:sty m:val="p"/>
              </m:rPr>
              <m:t>rem</m:t>
            </m:r>
          </m:sub>
        </m:sSub>
      </m:oMath>
      <w:r>
        <w:rPr>
          <w:b w:val="0"/>
        </w:rPr>
        <w:t xml:space="preserve"> 为当前剩余容量，</w:t>
      </w:r>
      <m:oMath>
        <m:sSub>
          <m:e>
            <m:r>
              <m:t>q</m:t>
            </m:r>
          </m:e>
          <m:sub>
            <m:r>
              <m:rPr>
                <m:sty m:val="p"/>
              </m:rPr>
              <m:t>max</m:t>
            </m:r>
            <m:r>
              <m:rPr>
                <m:nor/>
              </m:rPr>
              <m:t> </m:t>
            </m:r>
          </m:sub>
        </m:sSub>
      </m:oMath>
      <w:r>
        <w:rPr>
          <w:b w:val="0"/>
        </w:rPr>
        <w:t xml:space="preserve"> 为实例中最大客户需求。由于 α 可能大于1，该式不是始终位于两个距离之间的凸组合。当 α&gt;1 时，仓库距离系数为负，规则实际上对远离仓库的客户给予奖励；当0&lt;α&lt;1时，两项系数均为正。因而，该规则可随容量状态在不同几何偏好之间切换。其后还通过距离条件决定是否回仓。</w:t>
      </w:r>
    </w:p>
    <w:p>
      <w:pPr>
        <w:jc w:val="both"/>
      </w:pPr>
      <w:r>
        <w:rPr>
          <w:b w:val="0"/>
        </w:rPr>
        <w:t>三类车辆路径代表共同保留了远端客户开线和回仓决策的重要性。实验结果与这些结构的合理性相一致，但缺少逐项移除的同条件对照，尚不能将某一成绩改善唯一归因于最远开线、节约排序或容量阈值中的任意一项。</w:t>
      </w:r>
    </w:p>
    <w:p>
      <w:pPr>
        <w:pStyle w:val="Heading2"/>
      </w:pPr>
      <w:r>
        <w:t>6.4 在线装箱的非单调剩余空间偏好</w:t>
      </w:r>
    </w:p>
    <w:p>
      <w:pPr>
        <w:jc w:val="both"/>
      </w:pPr>
      <w:r>
        <w:rPr>
          <w:b w:val="0"/>
        </w:rPr>
        <w:t>B1对当前物品尺寸 a 和放置后残差 r 的评分可写为</w:t>
      </w:r>
    </w:p>
    <w:p>
      <w:pPr>
        <w:spacing w:before="120" w:after="160" w:line="276" w:lineRule="auto"/>
        <w:ind w:firstLine="0"/>
        <w:jc w:val="center"/>
      </w:pPr>
      <m:oMathPara>
        <m:oMath>
          <m:r>
            <m:t>s(r,a)=</m:t>
          </m:r>
          <m:r>
            <m:rPr>
              <m:sty m:val="p"/>
            </m:rPr>
            <m:t>exp</m:t>
          </m:r>
          <m:d>
            <m:dPr>
              <m:sepChr m:val=""/>
            </m:dPr>
            <m:e>
              <m:f>
                <m:fPr>
                  <m:type m:val="bar"/>
                </m:fPr>
                <m:num>
                  <m:r>
                    <m:t>a</m:t>
                  </m:r>
                </m:num>
                <m:den>
                  <m:r>
                    <m:t>r+a+ε</m:t>
                  </m:r>
                </m:den>
              </m:f>
            </m:e>
          </m:d>
          <m:r>
            <m:t>−</m:t>
          </m:r>
          <m:f>
            <m:fPr>
              <m:type m:val="bar"/>
            </m:fPr>
            <m:num>
              <m:sSup>
                <m:e>
                  <m:d>
                    <m:dPr>
                      <m:sepChr m:val=""/>
                    </m:dPr>
                    <m:e>
                      <m:r>
                        <m:t>r</m:t>
                      </m:r>
                      <m:r>
                        <m:t>−</m:t>
                      </m:r>
                      <m:r>
                        <m:t>a</m:t>
                      </m:r>
                    </m:e>
                  </m:d>
                </m:e>
                <m:sup>
                  <m:r>
                    <m:t>2</m:t>
                  </m:r>
                </m:sup>
              </m:sSup>
            </m:num>
            <m:den>
              <m:r>
                <m:t>a+ε</m:t>
              </m:r>
            </m:den>
          </m:f>
          <m:r>
            <m:rPr>
              <m:nor/>
            </m:rPr>
            <m:t> </m:t>
          </m:r>
          <m:sSub>
            <m:e>
              <m:r>
                <m:rPr>
                  <m:sty m:val="b"/>
                </m:rPr>
                <m:t>1</m:t>
              </m:r>
            </m:e>
            <m:sub>
              <m:d>
                <m:dPr>
                  <m:begChr m:val="{"/>
                  <m:sepChr m:val="&lt;"/>
                  <m:endChr m:val="}"/>
                </m:dPr>
                <m:e>
                  <m:r>
                    <m:t>0</m:t>
                  </m:r>
                </m:e>
                <m:e>
                  <m:r>
                    <m:t>r</m:t>
                  </m:r>
                </m:e>
                <m:e>
                  <m:r>
                    <m:t>2</m:t>
                  </m:r>
                  <m:r>
                    <m:t>a</m:t>
                  </m:r>
                </m:e>
              </m:d>
            </m:sub>
          </m:sSub>
          <m:r>
            <m:t>,</m:t>
          </m:r>
        </m:oMath>
      </m:oMathPara>
    </w:p>
    <w:p>
      <w:pPr>
        <w:jc w:val="both"/>
      </w:pPr>
      <w:r>
        <w:rPr>
          <w:b w:val="0"/>
        </w:rPr>
        <w:t>其中 ε 是很小的正数，指标函数限定残差惩罚的作用区间。第一项偏好较高的当前利用率。第二项只在0与2a之间生效，并在 r=a 时达到零惩罚；r=0的恰好装满情形也不受该项惩罚。</w:t>
      </w:r>
    </w:p>
    <w:p>
      <w:pPr>
        <w:jc w:val="both"/>
      </w:pPr>
      <w:r>
        <w:rPr>
          <w:b w:val="0"/>
        </w:rPr>
        <w:t>该评分因此不是剩余容量越小越好的单调规则。它一方面保留恰好装满的高优先级，另一方面允许与当前物品尺寸相近的剩余空间获得较高评分。从决策意图看，这相当于在紧致装填之外，保留一种对相近尺寸物品较友好的空隙结构。不过，惩罚项以 r=a 为中心不代表完整评分的最大值严格位于 r=a，因为利用率项同样影响排序。</w:t>
      </w:r>
    </w:p>
    <w:p>
      <w:pPr>
        <w:jc w:val="both"/>
      </w:pPr>
      <w:r>
        <w:rPr>
          <w:b w:val="0"/>
        </w:rPr>
        <w:t>在 r 接近2a的区间边界处，惩罚的开启与关闭还会引起评分结构变化。这个数学性质能够解释为何小幅参数或分段变化可能引起不同的后续装箱过程，但它不能单独证明未来物品与当前物品之间存在可被可靠预测的相关性。将该规则解释为“预留相近尺寸空间”是机制假设，而不是已识别的未来需求预测模型。</w:t>
      </w:r>
    </w:p>
    <w:p>
      <w:pPr>
        <w:jc w:val="both"/>
      </w:pPr>
      <w:r>
        <w:rPr>
          <w:b w:val="0"/>
        </w:rPr>
        <w:t>B2在正残差上的主要评分形式为</w:t>
      </w:r>
    </w:p>
    <w:p>
      <w:pPr>
        <w:spacing w:before="120" w:after="160" w:line="276" w:lineRule="auto"/>
        <w:ind w:firstLine="0"/>
        <w:jc w:val="center"/>
      </w:pPr>
      <m:oMathPara>
        <m:oMath>
          <m:r>
            <m:t>s(r)=</m:t>
          </m:r>
          <m:sSup>
            <m:e>
              <m:r>
                <m:t>r</m:t>
              </m:r>
            </m:e>
            <m:sup>
              <m:r>
                <m:t>−3/2</m:t>
              </m:r>
            </m:sup>
          </m:sSup>
          <m:r>
            <m:t>−</m:t>
          </m:r>
          <m:f>
            <m:fPr>
              <m:type m:val="bar"/>
            </m:fPr>
            <m:num>
              <m:d>
                <m:dPr>
                  <m:begChr m:val="|"/>
                  <m:sepChr m:val=""/>
                  <m:endChr m:val="|"/>
                </m:dPr>
                <m:e>
                  <m:r>
                    <m:t>r</m:t>
                  </m:r>
                  <m:r>
                    <m:t>−</m:t>
                  </m:r>
                  <m:r>
                    <m:t>C</m:t>
                  </m:r>
                  <m:r>
                    <m:t>/</m:t>
                  </m:r>
                  <m:r>
                    <m:t>2</m:t>
                  </m:r>
                </m:e>
              </m:d>
            </m:num>
            <m:den>
              <m:f>
                <m:fPr>
                  <m:type m:val="lin"/>
                </m:fPr>
                <m:num>
                  <m:r>
                    <m:t>C</m:t>
                  </m:r>
                </m:num>
                <m:den>
                  <m:r>
                    <m:t>2</m:t>
                  </m:r>
                </m:den>
              </m:f>
            </m:den>
          </m:f>
          <m:r>
            <m:t>,</m:t>
          </m:r>
          <m:r>
            <m:rPr>
              <m:nor/>
            </m:rPr>
            <m:t>  </m:t>
          </m:r>
          <m:r>
            <m:t>r&gt;0.</m:t>
          </m:r>
        </m:oMath>
      </m:oMathPara>
    </w:p>
    <w:p>
      <w:pPr>
        <w:jc w:val="both"/>
      </w:pPr>
      <w:r>
        <w:rPr>
          <w:b w:val="0"/>
        </w:rPr>
        <w:t>对恰好装满的情况，残差倒数项的极限对应最高优先级。第一项强调紧致装填，第二项则对偏离半箱容量的残差施加惩罚。两项使评分同时包含“尽快填满”与“保留一定中等空间”两种倾向。其结果为0.00694，接近B1，但不能据此认为两种规则在逐个物品上的选择相同。</w:t>
      </w:r>
    </w:p>
    <w:p>
      <w:pPr>
        <w:jc w:val="both"/>
      </w:pPr>
      <w:r>
        <w:rPr>
          <w:b w:val="0"/>
        </w:rPr>
        <w:t>B3采用残差倒数叠加一个平滑峰，其主要形式为</w:t>
      </w:r>
    </w:p>
    <w:p>
      <w:pPr>
        <w:spacing w:before="120" w:after="160" w:line="276" w:lineRule="auto"/>
        <w:ind w:firstLine="0"/>
        <w:jc w:val="center"/>
      </w:pPr>
      <m:oMathPara>
        <m:oMath>
          <m:r>
            <m:t>s(r)=</m:t>
          </m:r>
          <m:f>
            <m:fPr>
              <m:type m:val="bar"/>
            </m:fPr>
            <m:num>
              <m:r>
                <m:t>1</m:t>
              </m:r>
            </m:num>
            <m:den>
              <m:r>
                <m:t>r+ε</m:t>
              </m:r>
            </m:den>
          </m:f>
          <m:r>
            <m:t>+</m:t>
          </m:r>
          <m:r>
            <m:rPr>
              <m:sty m:val="p"/>
            </m:rPr>
            <m:t>exp</m:t>
          </m:r>
          <m:d>
            <m:dPr>
              <m:begChr m:val="["/>
              <m:sepChr m:val=""/>
              <m:endChr m:val="]"/>
            </m:dPr>
            <m:e>
              <m:r>
                <m:t>−10</m:t>
              </m:r>
              <m:sSup>
                <m:e>
                  <m:d>
                    <m:dPr>
                      <m:sepChr m:val=""/>
                    </m:dPr>
                    <m:e>
                      <m:f>
                        <m:fPr>
                          <m:type m:val="bar"/>
                        </m:fPr>
                        <m:num>
                          <m:r>
                            <m:t>r</m:t>
                          </m:r>
                        </m:num>
                        <m:den>
                          <m:acc>
                            <m:accPr>
                              <m:chr m:val="̅"/>
                            </m:accPr>
                            <m:e>
                              <m:r>
                                <m:t>b</m:t>
                              </m:r>
                            </m:e>
                          </m:acc>
                          <m:r>
                            <m:t>+ε</m:t>
                          </m:r>
                        </m:den>
                      </m:f>
                      <m:r>
                        <m:t>−</m:t>
                      </m:r>
                      <m:f>
                        <m:fPr>
                          <m:type m:val="bar"/>
                        </m:fPr>
                        <m:num>
                          <m:r>
                            <m:t>1</m:t>
                          </m:r>
                        </m:num>
                        <m:den>
                          <m:r>
                            <m:t>2</m:t>
                          </m:r>
                        </m:den>
                      </m:f>
                    </m:e>
                  </m:d>
                </m:e>
                <m:sup>
                  <m:r>
                    <m:t>2</m:t>
                  </m:r>
                </m:sup>
              </m:sSup>
            </m:e>
          </m:d>
          <m:r>
            <m:t>.</m:t>
          </m:r>
        </m:oMath>
      </m:oMathPara>
    </w:p>
    <w:p>
      <w:pPr>
        <w:jc w:val="both"/>
      </w:pPr>
      <w:r>
        <w:rPr>
          <w:b w:val="0"/>
        </w:rPr>
        <w:t>这里 b̄ 为当前可行箱剩余容量的平均值。因此，峰值中心随当前状态变化，不能简单解释为固定的“50单位剩余空间奖励”。与B2相比，B3的中等残差偏好相对于当前可行空间分布确定，而不是只相对于箱容量确定。</w:t>
      </w:r>
    </w:p>
    <w:p>
      <w:pPr>
        <w:jc w:val="both"/>
      </w:pPr>
      <w:r>
        <w:rPr>
          <w:b w:val="0"/>
        </w:rPr>
        <w:t>三种装箱规则均采用了非单调空间偏好，但数学形式和尺度依赖不同。B1主要使用当前物品尺寸作尺度，B2使用箱容量，B3使用当前可行箱的平均剩余容量。尺度选择是后续机制比较的重要维度。现有结果证明这些规则在同一批固定物品流上能得到较低超额率，尚不足以证明某一尺度在不同分布、物品顺序或容量变换下具有普遍优势。</w:t>
      </w:r>
    </w:p>
    <w:p>
      <w:pPr>
        <w:pStyle w:val="Heading1"/>
      </w:pPr>
      <w:r>
        <w:t>7 结果的解释范围</w:t>
      </w:r>
    </w:p>
    <w:p>
      <w:pPr>
        <w:pStyle w:val="Heading2"/>
      </w:pPr>
      <w:r>
        <w:t>7.1 可以成立的经验结论</w:t>
      </w:r>
    </w:p>
    <w:p>
      <w:pPr>
        <w:jc w:val="both"/>
      </w:pPr>
      <w:r>
        <w:rPr>
          <w:b w:val="0"/>
        </w:rPr>
        <w:t>第一，当前历史资料中确实存在相对于早期参考更低的目标值，且改善不只出现在单个最优运行中。旅行商与车辆路径的中位数约改善5%，在线装箱的中位数改善7.35%；超过一半的有效运行跨三类问题合计达到了5%阈值。</w:t>
      </w:r>
    </w:p>
    <w:p>
      <w:pPr>
        <w:jc w:val="both"/>
      </w:pPr>
      <w:r>
        <w:rPr>
          <w:b w:val="0"/>
        </w:rPr>
        <w:t>第二，完整逐代记录表明，大多数运行在初始种群之后继续取得改善。这使实验不仅提供一组孤立候选，还提供了可分析的搜索过程。不同问题的进化形态存在差异：有的较早改善后趋于平缓，有的在停滞后出现晚期变化。</w:t>
      </w:r>
    </w:p>
    <w:p>
      <w:pPr>
        <w:jc w:val="both"/>
      </w:pPr>
      <w:r>
        <w:rPr>
          <w:b w:val="0"/>
        </w:rPr>
        <w:t>第三，代表性规则可以转写为明确的几何或容量评分关系。部分变化能用数学等价性、权重符号和尺度选择解释，因而这批结果具有进一步开展机制消融的基础。它们的价值不只在于目标值较低，也在于能够提出具体、可检验的后续假设。</w:t>
      </w:r>
    </w:p>
    <w:p>
      <w:pPr>
        <w:pStyle w:val="Heading2"/>
      </w:pPr>
      <w:r>
        <w:t>7.2 不能由当前实验直接推出的结论</w:t>
      </w:r>
    </w:p>
    <w:p>
      <w:pPr>
        <w:jc w:val="both"/>
      </w:pPr>
      <w:r>
        <w:rPr>
          <w:b w:val="0"/>
        </w:rPr>
        <w:t>本批运行共享历史信息，不能依据605这一数量直接宣称获得605个独立重复。不同问题实例也不能替代独立搜索重复：同一规则在固定实例上的平均结果，与独立启动多个搜索过程的变异是不同层次的随机性。</w:t>
      </w:r>
    </w:p>
    <w:p>
      <w:pPr>
        <w:jc w:val="both"/>
      </w:pPr>
      <w:r>
        <w:rPr>
          <w:b w:val="0"/>
        </w:rPr>
        <w:t>当前参考组与后续批次在种群规模、代数和部分生成模型设置上不同，也缺少移除共享、多岛或检索机制的同预算对照。因此，不能声称上述任一组成部分单独造成了所观察到的改善。三类问题的最优值也不构成对现有最先进算法的系统比较。</w:t>
      </w:r>
    </w:p>
    <w:p>
      <w:pPr>
        <w:jc w:val="both"/>
      </w:pPr>
      <w:r>
        <w:rPr>
          <w:b w:val="0"/>
        </w:rPr>
        <w:t>固定研究实例被反复用于生成反馈和选择候选。多次自适应搜索可能对这些实例产生过拟合；本文没有据此评价新实例、新规模或新分布上的泛化。后续必须在候选选择完成后引入独立验证资料，不能把已经参与过选择的实例重新命名为独立测试集。</w:t>
      </w:r>
    </w:p>
    <w:p>
      <w:pPr>
        <w:jc w:val="both"/>
      </w:pPr>
      <w:r>
        <w:rPr>
          <w:b w:val="0"/>
        </w:rPr>
        <w:t>最后，启发式复杂度与搜索成本尚未在统一口径下比较。旅行商T1包含比简单距离评分更重的前瞻计算；8代与16代配置的资源投入也不同。因此，现有证据首先支持结果质量的描述，不支持“相同成本下更优”或“时间效率更高”的结论。</w:t>
      </w:r>
    </w:p>
    <w:p>
      <w:pPr>
        <w:pStyle w:val="Heading1"/>
      </w:pPr>
      <w:r>
        <w:t>8 作为论文阶段性基准的使用方式</w:t>
      </w:r>
    </w:p>
    <w:p>
      <w:pPr>
        <w:pStyle w:val="Heading2"/>
      </w:pPr>
      <w:r>
        <w:t>8.1 基准的三层定位</w:t>
      </w:r>
    </w:p>
    <w:p>
      <w:pPr>
        <w:jc w:val="both"/>
      </w:pPr>
      <w:r>
        <w:rPr>
          <w:b w:val="0"/>
        </w:rPr>
        <w:t>本批结果适宜分为三个层次保留。第一层是问题与评价基准，包括固定实例、约束、局部决策形式和目标聚合方法。第二层是历史过程基准，包括605次有效运行的整体分布、26次未形成有效结果的启动记录以及逐代改善情况。第三层是候选方法基准，包括具有明确数学描述的代表性规则。</w:t>
      </w:r>
    </w:p>
    <w:p>
      <w:pPr>
        <w:jc w:val="both"/>
      </w:pPr>
      <w:r>
        <w:rPr>
          <w:b w:val="0"/>
        </w:rPr>
        <w:t>三层基准回答不同问题。问题基准保证比较对象在解决同一数学问题；过程基准反映历史研究达到的典型水平和波动；候选方法基准为后续同条件评测提供具体参照。不能只保留最优数值而丢弃其对应规则，也不能把共享经验后的历史过程当成独立冷启动对照。</w:t>
      </w:r>
    </w:p>
    <w:p>
      <w:pPr>
        <w:pStyle w:val="Heading2"/>
      </w:pPr>
      <w:r>
        <w:t>8.2 后续研究的优先问题</w:t>
      </w:r>
    </w:p>
    <w:p>
      <w:pPr>
        <w:jc w:val="both"/>
      </w:pPr>
      <w:r>
        <w:rPr>
          <w:b w:val="0"/>
        </w:rPr>
        <w:t>对于旅行商问题，应比较简单几何评分与完整剩余路径前瞻之间的质量和计算代价。将T3作为简洁参照，有助于判断复杂前瞻的增益是否足以弥补额外计算。</w:t>
      </w:r>
    </w:p>
    <w:p>
      <w:pPr>
        <w:jc w:val="both"/>
      </w:pPr>
      <w:r>
        <w:rPr>
          <w:b w:val="0"/>
        </w:rPr>
        <w:t>对于车辆路径问题，应在保持相同客户排序的条件下，单独比较开线规则、容量触发条件和回仓阈值。C1与C2的排序等价性为这类对照提供了直接切入点。另一个问题是限制或允许C3的权重超过1，对结果产生何种影响。</w:t>
      </w:r>
    </w:p>
    <w:p>
      <w:pPr>
        <w:jc w:val="both"/>
      </w:pPr>
      <w:r>
        <w:rPr>
          <w:b w:val="0"/>
        </w:rPr>
        <w:t>对于在线装箱问题，应分别考察物品尺度、箱容量尺度和当前空间分布尺度，比较恰好装满优先、中等残差奖励与分段惩罚的局部作用。需要特别区分真实的机制收益与固定物品流上的参数适配，避免以一个高质量个例替代分布层面的验证。</w:t>
      </w:r>
    </w:p>
    <w:p>
      <w:pPr>
        <w:jc w:val="both"/>
      </w:pPr>
      <w:r>
        <w:rPr>
          <w:b w:val="0"/>
        </w:rPr>
        <w:t>在搜索过程层面，后续比较应统一总评价预算、初始信息条件和候选生成模型，并把独立搜索批次作为重复单位。共享经验的收益可通过共享开启与关闭等预先设定的对照检验，但不应把同一共享池中的运行数直接当作独立样本量。</w:t>
      </w:r>
    </w:p>
    <w:p>
      <w:pPr>
        <w:pStyle w:val="Heading2"/>
      </w:pPr>
      <w:r>
        <w:t>8.3 论文中适用的结论表述</w:t>
      </w:r>
    </w:p>
    <w:p>
      <w:pPr>
        <w:jc w:val="both"/>
      </w:pPr>
      <w:r>
        <w:rPr>
          <w:b w:val="0"/>
        </w:rPr>
        <w:t>这批实验适合支持如下阶段性结论：在三类固定研究实例上，大语言模型驱动的多岛启发式搜索形成了多种可解释的局部决策规则，并相对于既有历史参考取得了目标值改善；整体分布、逐代轨迹和规则形式共同表明，该方法具有继续研究的经验依据。</w:t>
      </w:r>
    </w:p>
    <w:p>
      <w:pPr>
        <w:jc w:val="both"/>
      </w:pPr>
      <w:r>
        <w:rPr>
          <w:b w:val="0"/>
        </w:rPr>
        <w:t>更强的结论，例如特定记忆或检索机制具有显著收益、复杂规则在同预算下优于简单规则、结果能够推广到未见规模，均需要新的独立证据。明确这一边界不会降低里程碑价值，反而能使后续章节的问题设置与本阶段结果形成清楚的逻辑递进。</w:t>
      </w:r>
    </w:p>
    <w:p>
      <w:pPr>
        <w:pStyle w:val="Heading1"/>
      </w:pPr>
      <w:r>
        <w:t>9 结论</w:t>
      </w:r>
    </w:p>
    <w:p>
      <w:pPr>
        <w:jc w:val="both"/>
      </w:pPr>
      <w:r>
        <w:rPr>
          <w:b w:val="0"/>
        </w:rPr>
        <w:t>本文围绕三类组合优化问题，对631次历史启动中的605次有效运行进行了统计与机制分析。旅行商、容量约束车辆路径和在线装箱的终点目标中位数分别为6.212865、12.858850和0.036875，相对于冻结历史参考的改善率分别为5.29%、4.88%和7.35%。317次有效运行超过5%改善阈值，说明所观察到的进展不限于个别最优结果；同时，装箱最优值与典型值之间的明显差距提示必须将发现能力与稳定表现分开评价。</w:t>
      </w:r>
    </w:p>
    <w:p>
      <w:pPr>
        <w:jc w:val="both"/>
      </w:pPr>
      <w:r>
        <w:rPr>
          <w:b w:val="0"/>
        </w:rPr>
        <w:t>同次运行分析表明，大多数有效运行在初始种群之后仍取得进一步改善。规则层面的数学分析则揭示，较好结果可以来自前瞻估价、几何距离奖励、容量状态切换以及非单调剩余空间偏好。不同命名不一定意味着不同排序，单个目标值也不足以识别规则机制。</w:t>
      </w:r>
    </w:p>
    <w:p>
      <w:pPr>
        <w:jc w:val="both"/>
      </w:pPr>
      <w:r>
        <w:rPr>
          <w:b w:val="0"/>
        </w:rPr>
        <w:t>考虑到共享历史造成的运行依赖、早期参照与当前预算不一致以及研究实例的反复使用，本阶段结果应作为后续研究的历史探索基准，而非最终确认性结论。以统一问题定义保留整体分布，以明确规则保留候选参照，并在后续研究中补充同条件对照和独立验证，是将这一里程碑转化为毕业论文可靠实验基础的关键。</w:t>
      </w:r>
    </w:p>
    <w:p>
      <w:pPr>
        <w:pStyle w:val="Heading1"/>
      </w:pPr>
      <w:r>
        <w:t>参考文献</w:t>
      </w:r>
    </w:p>
    <w:p>
      <w:pPr>
        <w:spacing w:line="288" w:lineRule="auto"/>
        <w:ind w:hanging="360" w:left="360"/>
        <w:jc w:val="left"/>
      </w:pPr>
      <w:r>
        <w:rPr>
          <w:b w:val="0"/>
          <w:sz w:val="20"/>
        </w:rPr>
        <w:t>[1] LIU F, TONG X, YUAN M, et al. Evolution of Heuristics: Towards Efficient Automatic Algorithm Design Using Large Language Model[C]//Proceedings of the 41st International Conference on Machine Learning. Proceedings of Machine Learning Research, 2024, 235: 32201–32223. https://proceedings.mlr.press/v235/liu24bs.html.</w:t>
      </w:r>
    </w:p>
    <w:p>
      <w:pPr>
        <w:spacing w:line="288" w:lineRule="auto"/>
        <w:ind w:hanging="360" w:left="360"/>
        <w:jc w:val="left"/>
      </w:pPr>
      <w:r>
        <w:rPr>
          <w:b w:val="0"/>
          <w:sz w:val="20"/>
        </w:rPr>
        <w:t>[2] WHITLEY D, RANA S, HECKENDORN R B. The Island Model Genetic Algorithm: On Separability, Population Size and Convergence[J]. Journal of Computing and Information Technology, 1999, 7(1): 33–47. https://hrcak.srce.hr/150198.</w:t>
      </w:r>
    </w:p>
    <w:p>
      <w:pPr>
        <w:spacing w:line="288" w:lineRule="auto"/>
        <w:ind w:hanging="360" w:left="360"/>
        <w:jc w:val="left"/>
      </w:pPr>
      <w:r>
        <w:rPr>
          <w:b w:val="0"/>
          <w:sz w:val="20"/>
        </w:rPr>
        <w:t>[3] CLARKE G, WRIGHT J W. Scheduling of Vehicles from a Central Depot to a Number of Delivery Points[J]. Operations Research, 1964, 12(4): 568–581. https://doi.org/10.1287/opre.12.4.568.</w:t>
      </w:r>
    </w:p>
    <w:p>
      <w:pPr>
        <w:pStyle w:val="Heading1"/>
      </w:pPr>
      <w:r>
        <w:t>资料说明</w:t>
      </w:r>
    </w:p>
    <w:p>
      <w:pPr>
        <w:spacing w:line="276" w:lineRule="auto"/>
        <w:jc w:val="both"/>
      </w:pPr>
      <w:r>
        <w:rPr>
          <w:b w:val="0"/>
          <w:sz w:val="21"/>
        </w:rPr>
        <w:t>本文统计对象为2026年6月30日完成并归档的多岛搜索批次。统计重建日期为2026年9月26日。分析使用原有运行终点与逐代种群结果，没有重新开展优化实验，也没有纳入后续九运行反思与记忆诊断。605次有效结果的分类数量、均值、中位数、标准差及超过5%阈值的数量均与阶段冻结汇总一致；631次启动及26次未完成记录来自同批原始运行资料。</w:t>
      </w:r>
    </w:p>
    <w:p>
      <w:pPr>
        <w:spacing w:line="276" w:lineRule="auto"/>
        <w:jc w:val="both"/>
      </w:pPr>
      <w:r>
        <w:rPr>
          <w:b w:val="0"/>
          <w:sz w:val="21"/>
        </w:rPr>
        <w:t>历史参考的定义另与早期纯进化组记录核对。代表性规则的数学说明以实际决策形式为依据；文献用于说明方法背景和经典思想来源，不为本批实验结果提供外部验证。随报告保留全部启动结果、代表性进化轨迹和分组统计表，便于后续研究沿用统一口径。</w:t>
      </w:r>
    </w:p>
    <w:sectPr w:rsidR="00FC693F" w:rsidRPr="0006063C" w:rsidSect="00034616">
      <w:headerReference w:type="default" r:id="rId9"/>
      <w:footerReference w:type="default" r:id="rId10"/>
      <w:pgSz w:w="11906" w:h="16838"/>
      <w:pgMar w:top="1361" w:right="1474" w:bottom="1304"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sz w:val="18"/>
      </w:rPr>
      <w:t>大语言模型驱动的多岛启发式搜索实验研究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80"/>
      <w:ind w:firstLine="480"/>
    </w:pPr>
    <w:rPr>
      <w:rFonts w:ascii="Times New Roman" w:hAnsi="Times New Roman" w:eastAsia="宋体"/>
      <w:b w:val="0"/>
      <w:i w:val="0"/>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ind w:firstLine="0"/>
      <w:outlineLvl w:val="0"/>
    </w:pPr>
    <w:rPr>
      <w:rFonts w:ascii="Times New Roman" w:hAnsi="Times New Roman" w:eastAsia="黑体"/>
      <w:b/>
      <w:bCs/>
      <w:i w:val="0"/>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80" w:after="160" w:line="276" w:lineRule="auto"/>
      <w:ind w:firstLine="0"/>
      <w:outlineLvl w:val="1"/>
    </w:pPr>
    <w:rPr>
      <w:rFonts w:ascii="Times New Roman" w:hAnsi="Times New Roman" w:eastAsia="黑体"/>
      <w:b/>
      <w:bCs/>
      <w:i w:val="0"/>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76" w:lineRule="auto" w:before="0"/>
      <w:ind w:firstLine="0"/>
      <w:contextualSpacing/>
    </w:pPr>
    <w:rPr>
      <w:rFonts w:ascii="Times New Roman" w:hAnsi="Times New Roman" w:eastAsia="黑体"/>
      <w:b/>
      <w:i w:val="0"/>
      <w:color w:val="000000"/>
      <w:spacing w:val="5"/>
      <w:kern w:val="28"/>
      <w:sz w:val="4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76" w:lineRule="auto"/>
      <w:ind w:firstLine="0"/>
    </w:pPr>
    <w:rPr>
      <w:rFonts w:ascii="Times New Roman" w:hAnsi="Times New Roman" w:eastAsia="黑体"/>
      <w:b w:val="0"/>
      <w:i w:val="0"/>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ind w:firstLine="0"/>
    </w:pPr>
    <w:rPr>
      <w:rFonts w:ascii="Times New Roman" w:hAnsi="Times New Roman" w:eastAsia="宋体"/>
      <w:b w:val="0"/>
      <w:bCs/>
      <w:i w:val="0"/>
      <w:color w:val="000000"/>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大语言模型驱动的多岛启发式搜索实验研究</dc:title>
  <dc:subject>605次有效运行的阶段性基准分析</dc:subject>
  <dc:creator/>
  <cp:keywords>组合优化；多岛搜索；自动启发式设计；阶段性基准</cp:keywords>
  <dc:description>generated by python-docx</dc:description>
  <cp:lastModifiedBy/>
  <cp:revision>1</cp:revision>
  <dcterms:created xsi:type="dcterms:W3CDTF">2013-12-23T23:15:00Z</dcterms:created>
  <dcterms:modified xsi:type="dcterms:W3CDTF">2013-12-23T23:15:00Z</dcterms:modified>
  <cp:category/>
</cp:coreProperties>
</file>