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显式反思与在线经验积累对启发式搜索的影响</w:t>
      </w:r>
    </w:p>
    <w:p>
      <w:pPr>
        <w:pStyle w:val="Subtitle"/>
        <w:jc w:val="center"/>
      </w:pPr>
      <w:r>
        <w:t>在线装箱问题的两阶段三组对照先导研究</w:t>
      </w:r>
    </w:p>
    <w:p>
      <w:pPr>
        <w:pStyle w:val="Heading1"/>
      </w:pPr>
      <w:r>
        <w:t>摘要</w:t>
      </w:r>
    </w:p>
    <w:p>
      <w:pPr>
        <w:jc w:val="both"/>
      </w:pPr>
      <w:r>
        <w:rPr>
          <w:b w:val="0"/>
        </w:rPr>
        <w:t>为考察显式反思和运行内经验积累能否改善大语言模型驱动的启发式搜索，本文在历史605次实验所使用的在线装箱任务上，比较直接依据评测事实制定计划、先形成研究笔记再制定计划、以及进一步积累并复用本次运行经验三种研究流程。研究包括连续两批各三个配对种子的先导实验。第一批九次运行共使用900次评测，三组终点超额率均值分别为0.018077、0.031157和0.007378；在线经验组虽然较好，但其首轮已经领先，不能据此推断经验机制的净效应。第二批使每个配对中的三组共享完全相同的实际首轮，再各自完成75次评测。三组终点均值分别为0.009256、0.007948和0.016568，实际评测总量为750次。共同起点消除了第一批最明显的初始状态混淆，结果却未呈现稳定排序：显式反思仅在一对中优于直接计划，在线经验虽在两对中优于显式反思，但另一对明显较差，平均过程质量亦未改善。第三对中一组分析主体的模型条件无法证明与其余组等价，因而三对比较只能作探索性描述。研究笔记与经验的形成和使用可以追溯，具体候选也呈现可解释的局部变化；然而，三对样本、已暴露的训练实例和总体分析成本缺失均限制了效果推断。本文据此将共同起点后的结果视为对研究流程及其风险的诊断，而不宣称显式反思或经验积累具有稳定收益。</w:t>
      </w:r>
    </w:p>
    <w:p>
      <w:pPr>
        <w:ind w:firstLine="0"/>
        <w:jc w:val="both"/>
      </w:pPr>
      <w:r>
        <w:rPr>
          <w:b w:val="0"/>
        </w:rPr>
      </w:r>
      <w:r>
        <w:rPr>
          <w:b/>
        </w:rPr>
        <w:t>关键词：</w:t>
      </w:r>
      <w:r>
        <w:rPr>
          <w:b w:val="0"/>
        </w:rPr>
        <w:t xml:space="preserve"> 在线装箱；启发式搜索；显式反思；在线经验；配对比较；先导实验</w:t>
      </w:r>
    </w:p>
    <w:p>
      <w:pPr>
        <w:pStyle w:val="Heading1"/>
      </w:pPr>
      <w:r>
        <w:t>1 研究动机与本次实验的定位</w:t>
      </w:r>
    </w:p>
    <w:p>
      <w:pPr>
        <w:jc w:val="both"/>
      </w:pPr>
      <w:r>
        <w:rPr>
          <w:b w:val="0"/>
        </w:rPr>
        <w:t>历史605次多岛实验说明，大语言模型辅助的启发式搜索能够在固定问题实例上发现较优规则。但是，这批实验同时使用多岛探索、历史信息共享和不同搜索深度，无法据其终点结果区分各个组成部分的作用。本文进一步关注一个更具体的问题：当候选生成与评测条件尽量保持一致时，要求研究主体显式总结证据，或者允许其复用此前形成的经验，是否会改变后续搜索问题与结果。</w:t>
      </w:r>
    </w:p>
    <w:p>
      <w:pPr>
        <w:jc w:val="both"/>
      </w:pPr>
      <w:r>
        <w:rPr>
          <w:b w:val="0"/>
        </w:rPr>
        <w:t>这项研究包含两个层次。方法层面考察评测事实是否被转化为具有可检验内容的认识，以及这些认识是否影响下一轮计划。结果层面考察固定评测预算下的终点质量与整个搜索过程。前者成立并不自动意味着后者改善；即使某组得到较好的候选，也仍需判断这一优势是否产生于所考察的处理。</w:t>
      </w:r>
    </w:p>
    <w:p>
      <w:pPr>
        <w:jc w:val="both"/>
      </w:pPr>
      <w:r>
        <w:rPr>
          <w:b w:val="0"/>
        </w:rPr>
        <w:t>为避免混淆，表1区分历史基准、早期预诊断及本文先后完成的两批三组实验。</w:t>
      </w:r>
    </w:p>
    <w:p>
      <w:pPr>
        <w:pStyle w:val="Caption"/>
        <w:keepNext/>
        <w:jc w:val="center"/>
      </w:pPr>
      <w:r>
        <w:rPr>
          <w:b/>
        </w:rPr>
        <w:t>表1 四批资料的研究定位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1701"/>
        <w:gridCol w:w="3005"/>
      </w:tblGrid>
      <w:tr>
        <w:trPr>
          <w:cantSplit/>
          <w:tblHeader/>
        </w:trPr>
        <w:tc>
          <w:tcPr>
            <w:tcW w:type="dxa" w:w="1701"/>
            <w:vAlign w:val="center"/>
            <w:tcMar>
              <w:top w:w="80" w:type="dxa"/>
              <w:left w:w="80" w:type="dxa"/>
              <w:bottom w:w="80" w:type="dxa"/>
              <w:right w:w="80" w:type="dxa"/>
            </w:tcMar>
            <w:shd w:fill="F1F1F1"/>
          </w:tcPr>
          <w:p>
            <w:pPr>
              <w:keepNext/>
              <w:spacing w:line="276" w:lineRule="auto" w:before="0" w:after="0"/>
              <w:ind w:firstLine="0"/>
              <w:jc w:val="center"/>
            </w:pPr>
            <w:r>
              <w:rPr>
                <w:b/>
                <w:sz w:val="19"/>
              </w:rPr>
              <w:t>批次</w:t>
            </w:r>
          </w:p>
        </w:tc>
        <w:tc>
          <w:tcPr>
            <w:tcW w:type="dxa" w:w="2551"/>
            <w:vAlign w:val="center"/>
            <w:tcMar>
              <w:top w:w="80" w:type="dxa"/>
              <w:left w:w="80" w:type="dxa"/>
              <w:bottom w:w="80" w:type="dxa"/>
              <w:right w:w="80" w:type="dxa"/>
            </w:tcMar>
            <w:shd w:fill="F1F1F1"/>
          </w:tcPr>
          <w:p>
            <w:pPr>
              <w:keepNext/>
              <w:spacing w:line="276" w:lineRule="auto" w:before="0" w:after="0"/>
              <w:ind w:firstLine="0"/>
              <w:jc w:val="center"/>
            </w:pPr>
            <w:r>
              <w:rPr>
                <w:b/>
                <w:sz w:val="19"/>
              </w:rPr>
              <w:t>研究对象</w:t>
            </w:r>
          </w:p>
        </w:tc>
        <w:tc>
          <w:tcPr>
            <w:tcW w:type="dxa" w:w="1701"/>
            <w:vAlign w:val="center"/>
            <w:tcMar>
              <w:top w:w="80" w:type="dxa"/>
              <w:left w:w="80" w:type="dxa"/>
              <w:bottom w:w="80" w:type="dxa"/>
              <w:right w:w="80" w:type="dxa"/>
            </w:tcMar>
            <w:shd w:fill="F1F1F1"/>
          </w:tcPr>
          <w:p>
            <w:pPr>
              <w:keepNext/>
              <w:spacing w:line="276" w:lineRule="auto" w:before="0" w:after="0"/>
              <w:ind w:firstLine="0"/>
              <w:jc w:val="center"/>
            </w:pPr>
            <w:r>
              <w:rPr>
                <w:b/>
                <w:sz w:val="19"/>
              </w:rPr>
              <w:t>规模</w:t>
            </w:r>
          </w:p>
        </w:tc>
        <w:tc>
          <w:tcPr>
            <w:tcW w:type="dxa" w:w="3005"/>
            <w:vAlign w:val="center"/>
            <w:tcMar>
              <w:top w:w="80" w:type="dxa"/>
              <w:left w:w="80" w:type="dxa"/>
              <w:bottom w:w="80" w:type="dxa"/>
              <w:right w:w="80" w:type="dxa"/>
            </w:tcMar>
            <w:shd w:fill="F1F1F1"/>
          </w:tcPr>
          <w:p>
            <w:pPr>
              <w:keepNext/>
              <w:spacing w:line="276" w:lineRule="auto" w:before="0" w:after="0"/>
              <w:ind w:firstLine="0"/>
              <w:jc w:val="center"/>
            </w:pPr>
            <w:r>
              <w:rPr>
                <w:b/>
                <w:sz w:val="19"/>
              </w:rPr>
              <w:t>本文中的作用</w:t>
            </w:r>
          </w:p>
        </w:tc>
      </w:tr>
      <w:tr>
        <w:trPr>
          <w:cantSplit/>
        </w:trPr>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历史多岛实验</w:t>
            </w:r>
          </w:p>
        </w:tc>
        <w:tc>
          <w:tcPr>
            <w:tcW w:type="dxa" w:w="2551"/>
            <w:vAlign w:val="center"/>
            <w:tcMar>
              <w:top w:w="80" w:type="dxa"/>
              <w:left w:w="80" w:type="dxa"/>
              <w:bottom w:w="80" w:type="dxa"/>
              <w:right w:w="80" w:type="dxa"/>
            </w:tcMar>
          </w:tcPr>
          <w:p>
            <w:pPr>
              <w:spacing w:line="276" w:lineRule="auto" w:before="0" w:after="0"/>
              <w:ind w:firstLine="0"/>
              <w:jc w:val="center"/>
            </w:pPr>
            <w:r>
              <w:rPr>
                <w:b w:val="0"/>
                <w:sz w:val="19"/>
              </w:rPr>
              <w:t>旅行商、车辆路径、在线装箱</w:t>
            </w:r>
          </w:p>
        </w:tc>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605次有效运行</w:t>
            </w:r>
          </w:p>
        </w:tc>
        <w:tc>
          <w:tcPr>
            <w:tcW w:type="dxa" w:w="3005"/>
            <w:vAlign w:val="center"/>
            <w:tcMar>
              <w:top w:w="80" w:type="dxa"/>
              <w:left w:w="80" w:type="dxa"/>
              <w:bottom w:w="80" w:type="dxa"/>
              <w:right w:w="80" w:type="dxa"/>
            </w:tcMar>
          </w:tcPr>
          <w:p>
            <w:pPr>
              <w:spacing w:line="276" w:lineRule="auto" w:before="0" w:after="0"/>
              <w:ind w:firstLine="0"/>
              <w:jc w:val="center"/>
            </w:pPr>
            <w:r>
              <w:rPr>
                <w:b w:val="0"/>
                <w:sz w:val="19"/>
              </w:rPr>
              <w:t>历史探索水平与候选方法参照</w:t>
            </w:r>
          </w:p>
        </w:tc>
      </w:tr>
      <w:tr>
        <w:trPr>
          <w:cantSplit/>
        </w:trPr>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早期三组预诊断</w:t>
            </w:r>
          </w:p>
        </w:tc>
        <w:tc>
          <w:tcPr>
            <w:tcW w:type="dxa" w:w="2551"/>
            <w:vAlign w:val="center"/>
            <w:tcMar>
              <w:top w:w="80" w:type="dxa"/>
              <w:left w:w="80" w:type="dxa"/>
              <w:bottom w:w="80" w:type="dxa"/>
              <w:right w:w="80" w:type="dxa"/>
            </w:tcMar>
          </w:tcPr>
          <w:p>
            <w:pPr>
              <w:spacing w:line="276" w:lineRule="auto" w:before="0" w:after="0"/>
              <w:ind w:firstLine="0"/>
              <w:jc w:val="left"/>
            </w:pPr>
            <w:r>
              <w:rPr>
                <w:b w:val="0"/>
                <w:sz w:val="19"/>
              </w:rPr>
              <w:t>目标下界已被基准达到的简化装箱任务</w:t>
            </w:r>
          </w:p>
        </w:tc>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9个运行</w:t>
            </w:r>
          </w:p>
        </w:tc>
        <w:tc>
          <w:tcPr>
            <w:tcW w:type="dxa" w:w="3005"/>
            <w:vAlign w:val="center"/>
            <w:tcMar>
              <w:top w:w="80" w:type="dxa"/>
              <w:left w:w="80" w:type="dxa"/>
              <w:bottom w:w="80" w:type="dxa"/>
              <w:right w:w="80" w:type="dxa"/>
            </w:tcMar>
          </w:tcPr>
          <w:p>
            <w:pPr>
              <w:spacing w:line="276" w:lineRule="auto" w:before="0" w:after="0"/>
              <w:ind w:firstLine="0"/>
              <w:jc w:val="left"/>
            </w:pPr>
            <w:r>
              <w:rPr>
                <w:b w:val="0"/>
                <w:sz w:val="19"/>
              </w:rPr>
              <w:t>说明研究问题缺少改善余量时不能评价增益</w:t>
            </w:r>
          </w:p>
        </w:tc>
      </w:tr>
      <w:tr>
        <w:trPr>
          <w:cantSplit/>
        </w:trPr>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首批三组先导实验</w:t>
            </w:r>
          </w:p>
        </w:tc>
        <w:tc>
          <w:tcPr>
            <w:tcW w:type="dxa" w:w="2551"/>
            <w:vAlign w:val="center"/>
            <w:tcMar>
              <w:top w:w="80" w:type="dxa"/>
              <w:left w:w="80" w:type="dxa"/>
              <w:bottom w:w="80" w:type="dxa"/>
              <w:right w:w="80" w:type="dxa"/>
            </w:tcMar>
          </w:tcPr>
          <w:p>
            <w:pPr>
              <w:spacing w:line="276" w:lineRule="auto" w:before="0" w:after="0"/>
              <w:ind w:firstLine="0"/>
              <w:jc w:val="center"/>
            </w:pPr>
            <w:r>
              <w:rPr>
                <w:b w:val="0"/>
                <w:sz w:val="19"/>
              </w:rPr>
              <w:t>恢复的历史在线装箱任务</w:t>
            </w:r>
          </w:p>
        </w:tc>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9个运行，900次评测尝试</w:t>
            </w:r>
          </w:p>
        </w:tc>
        <w:tc>
          <w:tcPr>
            <w:tcW w:type="dxa" w:w="3005"/>
            <w:vAlign w:val="center"/>
            <w:tcMar>
              <w:top w:w="80" w:type="dxa"/>
              <w:left w:w="80" w:type="dxa"/>
              <w:bottom w:w="80" w:type="dxa"/>
              <w:right w:w="80" w:type="dxa"/>
            </w:tcMar>
          </w:tcPr>
          <w:p>
            <w:pPr>
              <w:spacing w:line="276" w:lineRule="auto" w:before="0" w:after="0"/>
              <w:ind w:firstLine="0"/>
              <w:jc w:val="left"/>
            </w:pPr>
            <w:r>
              <w:rPr>
                <w:b w:val="0"/>
                <w:sz w:val="19"/>
              </w:rPr>
              <w:t>分析流程内容，并识别首轮状态差异</w:t>
            </w:r>
          </w:p>
        </w:tc>
      </w:tr>
      <w:tr>
        <w:trPr>
          <w:cantSplit/>
        </w:trPr>
        <w:tc>
          <w:tcPr>
            <w:tcW w:type="dxa" w:w="1701"/>
            <w:vAlign w:val="center"/>
            <w:tcMar>
              <w:top w:w="80" w:type="dxa"/>
              <w:left w:w="80" w:type="dxa"/>
              <w:bottom w:w="80" w:type="dxa"/>
              <w:right w:w="80" w:type="dxa"/>
            </w:tcMar>
          </w:tcPr>
          <w:p>
            <w:pPr>
              <w:spacing w:line="276" w:lineRule="auto" w:before="0" w:after="0"/>
              <w:ind w:firstLine="0"/>
              <w:jc w:val="center"/>
            </w:pPr>
            <w:r>
              <w:rPr>
                <w:b w:val="0"/>
                <w:sz w:val="19"/>
              </w:rPr>
              <w:t>共同首轮配对实验</w:t>
            </w:r>
          </w:p>
        </w:tc>
        <w:tc>
          <w:tcPr>
            <w:tcW w:type="dxa" w:w="2551"/>
            <w:vAlign w:val="center"/>
            <w:tcMar>
              <w:top w:w="80" w:type="dxa"/>
              <w:left w:w="80" w:type="dxa"/>
              <w:bottom w:w="80" w:type="dxa"/>
              <w:right w:w="80" w:type="dxa"/>
            </w:tcMar>
          </w:tcPr>
          <w:p>
            <w:pPr>
              <w:spacing w:line="276" w:lineRule="auto" w:before="0" w:after="0"/>
              <w:ind w:firstLine="0"/>
              <w:jc w:val="center"/>
            </w:pPr>
            <w:r>
              <w:rPr>
                <w:b w:val="0"/>
                <w:sz w:val="19"/>
              </w:rPr>
              <w:t>同一在线装箱任务</w:t>
            </w:r>
          </w:p>
        </w:tc>
        <w:tc>
          <w:tcPr>
            <w:tcW w:type="dxa" w:w="1701"/>
            <w:vAlign w:val="center"/>
            <w:tcMar>
              <w:top w:w="80" w:type="dxa"/>
              <w:left w:w="80" w:type="dxa"/>
              <w:bottom w:w="80" w:type="dxa"/>
              <w:right w:w="80" w:type="dxa"/>
            </w:tcMar>
          </w:tcPr>
          <w:p>
            <w:pPr>
              <w:spacing w:line="276" w:lineRule="auto" w:before="0" w:after="0"/>
              <w:ind w:firstLine="0"/>
              <w:jc w:val="left"/>
            </w:pPr>
            <w:r>
              <w:rPr>
                <w:b w:val="0"/>
                <w:sz w:val="19"/>
              </w:rPr>
              <w:t>3个共同首轮、9个后续分支，750次实际评测</w:t>
            </w:r>
          </w:p>
        </w:tc>
        <w:tc>
          <w:tcPr>
            <w:tcW w:type="dxa" w:w="3005"/>
            <w:vAlign w:val="center"/>
            <w:tcMar>
              <w:top w:w="80" w:type="dxa"/>
              <w:left w:w="80" w:type="dxa"/>
              <w:bottom w:w="80" w:type="dxa"/>
              <w:right w:w="80" w:type="dxa"/>
            </w:tcMar>
          </w:tcPr>
          <w:p>
            <w:pPr>
              <w:spacing w:line="276" w:lineRule="auto" w:before="0" w:after="0"/>
              <w:ind w:firstLine="0"/>
              <w:jc w:val="left"/>
            </w:pPr>
            <w:r>
              <w:rPr>
                <w:b w:val="0"/>
                <w:sz w:val="19"/>
              </w:rPr>
              <w:t>在相同首轮状态后观察三组差异</w:t>
            </w:r>
          </w:p>
        </w:tc>
      </w:tr>
    </w:tbl>
    <w:p>
      <w:pPr>
        <w:spacing w:after="0"/>
      </w:pPr>
    </w:p>
    <w:p>
      <w:pPr>
        <w:jc w:val="both"/>
      </w:pPr>
      <w:r>
        <w:rPr>
          <w:b w:val="0"/>
        </w:rPr>
        <w:t>早期预诊断中，基准目标已等于零，无法再通过目标下降区分处理；其研究问题与计划内容也未充分响应具体候选。因此，该批结果不并入本文的质量统计。后两批均使用具有实际改善余量的历史装箱任务，并对候选层面的观察与后续问题作了具体分析。</w:t>
      </w:r>
    </w:p>
    <w:p>
      <w:pPr>
        <w:jc w:val="both"/>
      </w:pPr>
      <w:r>
        <w:rPr>
          <w:b w:val="0"/>
        </w:rPr>
        <w:t>历史605次运行与两批新实验也不能直接合并为一个样本。它们的问题覆盖、搜索配置、历史信息条件和研究目的不同；两批新实验的首轮处理又不相同。本文承接历史任务的数学定义与候选参照，分别报告各批比较条件和观察结果。</w:t>
      </w:r>
    </w:p>
    <w:p>
      <w:pPr>
        <w:pStyle w:val="Heading1"/>
      </w:pPr>
      <w:r>
        <w:t>2 问题定义与比较方法</w:t>
      </w:r>
    </w:p>
    <w:p>
      <w:pPr>
        <w:pStyle w:val="Heading2"/>
      </w:pPr>
      <w:r>
        <w:t>2.1 在线装箱目标与评价实例</w:t>
      </w:r>
    </w:p>
    <w:p>
      <w:pPr>
        <w:jc w:val="both"/>
      </w:pPr>
      <w:r>
        <w:rPr>
          <w:b w:val="0"/>
        </w:rPr>
        <w:t>物品按顺序到达，每个物品必须立即分配至可容纳它的箱中，已作出的分配不再调整。箱容量为100，研究资料包含五条固定物品流，每条5000个物品。候选规则在已有箱与可启用的新箱之间作出选择，以最终使用箱数尽可能少为目标。</w:t>
      </w:r>
    </w:p>
    <w:p>
      <w:pPr>
        <w:jc w:val="both"/>
      </w:pPr>
      <w:r>
        <w:rPr>
          <w:b w:val="0"/>
        </w:rPr>
        <w:t>设第k条物品流的使用箱数为Bₖ，体积约束给出的整数下界为Lₖ，则总体超额率定义为</w:t>
      </w:r>
    </w:p>
    <w:p>
      <w:pPr>
        <w:spacing w:before="120" w:after="160" w:line="276" w:lineRule="auto"/>
        <w:ind w:firstLine="0"/>
        <w:jc w:val="center"/>
      </w:pPr>
      <m:oMathPara>
        <m:oMath>
          <m:r>
            <m:t>E=</m:t>
          </m:r>
          <m:f>
            <m:fPr>
              <m:type m:val="bar"/>
            </m:fPr>
            <m:num>
              <m:nary>
                <m:naryPr>
                  <m:chr m:val="∑"/>
                  <m:limLoc m:val="undOvr"/>
                  <m:grow m:val="1"/>
                  <m:subHide m:val="off"/>
                  <m:supHide m:val="off"/>
                </m:naryPr>
                <m:sub>
                  <m:r>
                    <m:t>k=1</m:t>
                  </m:r>
                </m:sub>
                <m:sup>
                  <m:r>
                    <m:t>5</m:t>
                  </m:r>
                </m:sup>
                <m:e>
                  <m:r>
                    <m:rPr>
                      <m:nor/>
                    </m:rPr>
                    <m:t> </m:t>
                  </m:r>
                  <m:r>
                    <m:t>(</m:t>
                  </m:r>
                </m:e>
              </m:nary>
              <m:sSub>
                <m:e>
                  <m:r>
                    <m:t>B</m:t>
                  </m:r>
                </m:e>
                <m:sub>
                  <m:r>
                    <m:t>k</m:t>
                  </m:r>
                </m:sub>
              </m:sSub>
              <m:r>
                <m:t>−</m:t>
              </m:r>
              <m:sSub>
                <m:e>
                  <m:r>
                    <m:t>L</m:t>
                  </m:r>
                </m:e>
                <m:sub>
                  <m:r>
                    <m:t>k</m:t>
                  </m:r>
                </m:sub>
              </m:sSub>
              <m:r>
                <m:t>)</m:t>
              </m:r>
            </m:num>
            <m:den>
              <m:nary>
                <m:naryPr>
                  <m:chr m:val="∑"/>
                  <m:limLoc m:val="undOvr"/>
                  <m:grow m:val="1"/>
                  <m:subHide m:val="off"/>
                  <m:supHide m:val="off"/>
                </m:naryPr>
                <m:sub>
                  <m:r>
                    <m:t>k=1</m:t>
                  </m:r>
                </m:sub>
                <m:sup>
                  <m:r>
                    <m:t>5</m:t>
                  </m:r>
                </m:sup>
                <m:e>
                  <m:r>
                    <m:rPr>
                      <m:nor/>
                    </m:rPr>
                    <m:t> </m:t>
                  </m:r>
                </m:e>
              </m:nary>
              <m:sSub>
                <m:e>
                  <m:r>
                    <m:t>L</m:t>
                  </m:r>
                </m:e>
                <m:sub>
                  <m:r>
                    <m:t>k</m:t>
                  </m:r>
                </m:sub>
              </m:sSub>
            </m:den>
          </m:f>
          <m:r>
            <m:t>.</m:t>
          </m:r>
        </m:oMath>
      </m:oMathPara>
    </w:p>
    <w:p>
      <w:pPr>
        <w:jc w:val="both"/>
      </w:pPr>
      <w:r>
        <w:rPr>
          <w:b w:val="0"/>
        </w:rPr>
        <w:t>五个下界依次为2012、1983、1978、1986和1980，平均下界为1987.8。该目标是平均箱数相对于平均下界的超额，不是单实例相对误差的简单平均，也不是相对于已知最优箱数的误差。E越小越好。</w:t>
      </w:r>
    </w:p>
    <w:p>
      <w:pPr>
        <w:jc w:val="both"/>
      </w:pPr>
      <w:r>
        <w:rPr>
          <w:b w:val="0"/>
        </w:rPr>
        <w:t>共同基准采用最佳适应规则，即选择能够容纳当前物品且剩余容量最小的箱。其五条流箱数为2094、2059、2057、2067和2058，对应超额率0.039843042560。该数值与历史报告冻结的0.0398接近，但身份不同：前者是本次明确评测的同一规则，后者是早期纯进化实验中位数的舍入参考，不能仅因数值接近而混用。</w:t>
      </w:r>
    </w:p>
    <w:p>
      <w:pPr>
        <w:jc w:val="both"/>
      </w:pPr>
      <w:r>
        <w:rPr>
          <w:b w:val="0"/>
        </w:rPr>
        <w:t>五条物品流都曾用于历史候选评价，属于已暴露的研究实例。本次没有使用新的独立测试实例，以下质量结论均限于这五条流。</w:t>
      </w:r>
    </w:p>
    <w:p>
      <w:pPr>
        <w:pStyle w:val="Heading2"/>
      </w:pPr>
      <w:r>
        <w:t>2.2 三组处理及其估计对象</w:t>
      </w:r>
    </w:p>
    <w:p>
      <w:pPr>
        <w:pStyle w:val="Caption"/>
        <w:keepNext/>
        <w:jc w:val="center"/>
      </w:pPr>
      <w:r>
        <w:rPr>
          <w:b/>
        </w:rPr>
        <w:t>表2 三种研究流程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402"/>
        <w:gridCol w:w="1814"/>
        <w:gridCol w:w="3061"/>
      </w:tblGrid>
      <w:tr>
        <w:trPr>
          <w:cantSplit/>
          <w:tblHeader/>
        </w:trPr>
        <w:tc>
          <w:tcPr>
            <w:tcW w:type="dxa" w:w="680"/>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3402"/>
            <w:vAlign w:val="center"/>
            <w:tcMar>
              <w:top w:w="80" w:type="dxa"/>
              <w:left w:w="80" w:type="dxa"/>
              <w:bottom w:w="80" w:type="dxa"/>
              <w:right w:w="80" w:type="dxa"/>
            </w:tcMar>
            <w:shd w:fill="F1F1F1"/>
          </w:tcPr>
          <w:p>
            <w:pPr>
              <w:keepNext/>
              <w:spacing w:line="276" w:lineRule="auto" w:before="0" w:after="0"/>
              <w:ind w:firstLine="0"/>
              <w:jc w:val="center"/>
            </w:pPr>
            <w:r>
              <w:rPr>
                <w:b/>
                <w:sz w:val="19"/>
              </w:rPr>
              <w:t>制定下一轮计划的方式</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研究笔记</w:t>
            </w:r>
          </w:p>
        </w:tc>
        <w:tc>
          <w:tcPr>
            <w:tcW w:type="dxa" w:w="3061"/>
            <w:vAlign w:val="center"/>
            <w:tcMar>
              <w:top w:w="80" w:type="dxa"/>
              <w:left w:w="80" w:type="dxa"/>
              <w:bottom w:w="80" w:type="dxa"/>
              <w:right w:w="80" w:type="dxa"/>
            </w:tcMar>
            <w:shd w:fill="F1F1F1"/>
          </w:tcPr>
          <w:p>
            <w:pPr>
              <w:keepNext/>
              <w:spacing w:line="276" w:lineRule="auto" w:before="0" w:after="0"/>
              <w:ind w:firstLine="0"/>
              <w:jc w:val="center"/>
            </w:pPr>
            <w:r>
              <w:rPr>
                <w:b/>
                <w:sz w:val="19"/>
              </w:rPr>
              <w:t>历史经验来源</w:t>
            </w:r>
          </w:p>
        </w:tc>
      </w:tr>
      <w:tr>
        <w:trPr>
          <w:cantSplit/>
        </w:trPr>
        <w:tc>
          <w:tcPr>
            <w:tcW w:type="dxa" w:w="680"/>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3402"/>
            <w:vAlign w:val="center"/>
            <w:tcMar>
              <w:top w:w="80" w:type="dxa"/>
              <w:left w:w="80" w:type="dxa"/>
              <w:bottom w:w="80" w:type="dxa"/>
              <w:right w:w="80" w:type="dxa"/>
            </w:tcMar>
          </w:tcPr>
          <w:p>
            <w:pPr>
              <w:spacing w:line="276" w:lineRule="auto" w:before="0" w:after="0"/>
              <w:ind w:firstLine="0"/>
              <w:jc w:val="left"/>
            </w:pPr>
            <w:r>
              <w:rPr>
                <w:b w:val="0"/>
                <w:sz w:val="19"/>
              </w:rPr>
              <w:t>阅读当前事实及对比材料后直接制定计划</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不要求额外完整笔记</w:t>
            </w:r>
          </w:p>
        </w:tc>
        <w:tc>
          <w:tcPr>
            <w:tcW w:type="dxa" w:w="3061"/>
            <w:vAlign w:val="center"/>
            <w:tcMar>
              <w:top w:w="80" w:type="dxa"/>
              <w:left w:w="80" w:type="dxa"/>
              <w:bottom w:w="80" w:type="dxa"/>
              <w:right w:w="80" w:type="dxa"/>
            </w:tcMar>
          </w:tcPr>
          <w:p>
            <w:pPr>
              <w:spacing w:line="276" w:lineRule="auto" w:before="0" w:after="0"/>
              <w:ind w:firstLine="0"/>
              <w:jc w:val="center"/>
            </w:pPr>
            <w:r>
              <w:rPr>
                <w:b w:val="0"/>
                <w:sz w:val="19"/>
              </w:rPr>
              <w:t>不启用独立经验积累</w:t>
            </w:r>
          </w:p>
        </w:tc>
      </w:tr>
      <w:tr>
        <w:trPr>
          <w:cantSplit/>
        </w:trPr>
        <w:tc>
          <w:tcPr>
            <w:tcW w:type="dxa" w:w="680"/>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3402"/>
            <w:vAlign w:val="center"/>
            <w:tcMar>
              <w:top w:w="80" w:type="dxa"/>
              <w:left w:w="80" w:type="dxa"/>
              <w:bottom w:w="80" w:type="dxa"/>
              <w:right w:w="80" w:type="dxa"/>
            </w:tcMar>
          </w:tcPr>
          <w:p>
            <w:pPr>
              <w:spacing w:line="276" w:lineRule="auto" w:before="0" w:after="0"/>
              <w:ind w:firstLine="0"/>
              <w:jc w:val="left"/>
            </w:pPr>
            <w:r>
              <w:rPr>
                <w:b w:val="0"/>
                <w:sz w:val="19"/>
              </w:rPr>
              <w:t>先形成与证据对应的研究笔记，再据此制定计划</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必须形成并用于后续计划</w:t>
            </w:r>
          </w:p>
        </w:tc>
        <w:tc>
          <w:tcPr>
            <w:tcW w:type="dxa" w:w="3061"/>
            <w:vAlign w:val="center"/>
            <w:tcMar>
              <w:top w:w="80" w:type="dxa"/>
              <w:left w:w="80" w:type="dxa"/>
              <w:bottom w:w="80" w:type="dxa"/>
              <w:right w:w="80" w:type="dxa"/>
            </w:tcMar>
          </w:tcPr>
          <w:p>
            <w:pPr>
              <w:spacing w:line="276" w:lineRule="auto" w:before="0" w:after="0"/>
              <w:ind w:firstLine="0"/>
              <w:jc w:val="center"/>
            </w:pPr>
            <w:r>
              <w:rPr>
                <w:b w:val="0"/>
                <w:sz w:val="19"/>
              </w:rPr>
              <w:t>不启用独立经验积累</w:t>
            </w:r>
          </w:p>
        </w:tc>
      </w:tr>
      <w:tr>
        <w:trPr>
          <w:cantSplit/>
        </w:trPr>
        <w:tc>
          <w:tcPr>
            <w:tcW w:type="dxa" w:w="680"/>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3402"/>
            <w:vAlign w:val="center"/>
            <w:tcMar>
              <w:top w:w="80" w:type="dxa"/>
              <w:left w:w="80" w:type="dxa"/>
              <w:bottom w:w="80" w:type="dxa"/>
              <w:right w:w="80" w:type="dxa"/>
            </w:tcMar>
          </w:tcPr>
          <w:p>
            <w:pPr>
              <w:spacing w:line="276" w:lineRule="auto" w:before="0" w:after="0"/>
              <w:ind w:firstLine="0"/>
              <w:jc w:val="left"/>
            </w:pPr>
            <w:r>
              <w:rPr>
                <w:b w:val="0"/>
                <w:sz w:val="19"/>
              </w:rPr>
              <w:t>在B组流程上检索和使用较早轮次的经验</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与B组相同</w:t>
            </w:r>
          </w:p>
        </w:tc>
        <w:tc>
          <w:tcPr>
            <w:tcW w:type="dxa" w:w="3061"/>
            <w:vAlign w:val="center"/>
            <w:tcMar>
              <w:top w:w="80" w:type="dxa"/>
              <w:left w:w="80" w:type="dxa"/>
              <w:bottom w:w="80" w:type="dxa"/>
              <w:right w:w="80" w:type="dxa"/>
            </w:tcMar>
          </w:tcPr>
          <w:p>
            <w:pPr>
              <w:spacing w:line="276" w:lineRule="auto" w:before="0" w:after="0"/>
              <w:ind w:firstLine="0"/>
              <w:jc w:val="center"/>
            </w:pPr>
            <w:r>
              <w:rPr>
                <w:b w:val="0"/>
                <w:sz w:val="19"/>
              </w:rPr>
              <w:t>仅来自本次运行，从空白开始</w:t>
            </w:r>
          </w:p>
        </w:tc>
      </w:tr>
    </w:tbl>
    <w:p>
      <w:pPr>
        <w:spacing w:after="0"/>
      </w:pPr>
    </w:p>
    <w:p>
      <w:pPr>
        <w:jc w:val="both"/>
      </w:pPr>
      <w:r>
        <w:rPr>
          <w:b w:val="0"/>
        </w:rPr>
        <w:t>A与B获得相同种类的事实、相同的材料选择规则和相同的信息字段；随着各自搜索结果不同，实际材料内容可以不同。B相对于A增加的是“强制形成并使用显式研究笔记”的流程，而不是从行为资料中不可观察的内部思考。A仍可以理解材料、作出判断，并在停滞后说明继续搜索的依据。</w:t>
      </w:r>
    </w:p>
    <w:p>
      <w:pPr>
        <w:jc w:val="both"/>
      </w:pPr>
      <w:r>
        <w:rPr>
          <w:b w:val="0"/>
        </w:rPr>
        <w:t>C相对于B增加运行内经验积累。各次运行均从空白经验开始，仅允许使用本次运行较早轮次形成的认识，不预置历史优良规则，也不共享其他组或其他种子的经验记录。没有可复用认识时不要求形成新经验。</w:t>
      </w:r>
    </w:p>
    <w:p>
      <w:pPr>
        <w:jc w:val="both"/>
      </w:pPr>
      <w:r>
        <w:rPr>
          <w:b w:val="0"/>
        </w:rPr>
        <w:t>各组使用共同的初始计划，处理差异在首轮评测结束后开始体现。因此，C与B的主要诊断区间为第二至第四轮。首轮虽然采用相同生成条件和搜索种子，仍可能获得不同候选，这一点是后文解释结果的关键。</w:t>
      </w:r>
    </w:p>
    <w:p>
      <w:pPr>
        <w:pStyle w:val="Heading2"/>
      </w:pPr>
      <w:r>
        <w:t>2.3 预算与重复设置</w:t>
      </w:r>
    </w:p>
    <w:p>
      <w:pPr>
        <w:jc w:val="both"/>
      </w:pPr>
      <w:r>
        <w:rPr>
          <w:b w:val="0"/>
        </w:rPr>
        <w:t>本节至第8节报告首批三组实验。共同首轮配对实验采用相同的数学目标，但其首轮共享方式与样本编号另见第9节，两批统计不合并。</w:t>
      </w:r>
    </w:p>
    <w:p>
      <w:pPr>
        <w:jc w:val="both"/>
      </w:pPr>
      <w:r>
        <w:rPr>
          <w:b w:val="0"/>
        </w:rPr>
        <w:t>实验设置三个搜索种子，分别记为S1、S2和S3，对应1836735484、1706957291和3122620597。每个种子下分别开展A、B、C三种处理，共九个运行。候选生成模型均为DeepSeek V4.1 Flash，初始搜索计划与主要搜索参数保持一致。</w:t>
      </w:r>
    </w:p>
    <w:p>
      <w:pPr>
        <w:jc w:val="both"/>
      </w:pPr>
      <w:r>
        <w:rPr>
          <w:b w:val="0"/>
        </w:rPr>
        <w:t>每运行固定100次评测尝试，分为四轮，每轮25次。评测次数是主比较中唯一保持相等的资源；反思与经验处理可能带来的额外模型消耗另行报告。重复基准评价、已有候选重评以及中断尝试均占用预算，不能只统计留下有效结果的候选。</w:t>
      </w:r>
    </w:p>
    <w:p>
      <w:pPr>
        <w:jc w:val="both"/>
      </w:pPr>
      <w:r>
        <w:rPr>
          <w:b w:val="0"/>
        </w:rPr>
        <w:t>本批每运行实际包含84次生成候选的评测尝试、4次基准评价和12次既有候选重评。九个运行全部达到100次预算，无主动提前停止。两个生成尝试中断后未留下完整候选结果，仍占用相应评测位置。预算结束后不追加搜索以改善不理想成绩。</w:t>
      </w:r>
    </w:p>
    <w:p>
      <w:pPr>
        <w:jc w:val="both"/>
      </w:pPr>
      <w:r>
        <w:rPr>
          <w:b w:val="0"/>
        </w:rPr>
        <w:t>“配对”表示相同搜索种子下的三组被对应比较，并不保证模型生成的候选、初始种群或第一轮结果相同。该设计也没有形成信息完全隔离的独立决策主体，因此本文不将配对编号视为已经满足随机因果比较的充分条件。</w:t>
      </w:r>
    </w:p>
    <w:p>
      <w:pPr>
        <w:pStyle w:val="Heading2"/>
      </w:pPr>
      <w:r>
        <w:t>2.4 质量与过程指标</w:t>
      </w:r>
    </w:p>
    <w:p>
      <w:pPr>
        <w:jc w:val="both"/>
      </w:pPr>
      <w:r>
        <w:rPr>
          <w:b w:val="0"/>
        </w:rPr>
        <w:t>设某个运行在第t次评测后已知的最优目标为fₜ，固定预算终点为f₁₀₀。以累计最优目标之和衡量搜索过程：</w:t>
      </w:r>
    </w:p>
    <w:p>
      <w:pPr>
        <w:spacing w:before="120" w:after="160" w:line="276" w:lineRule="auto"/>
        <w:ind w:firstLine="0"/>
        <w:jc w:val="center"/>
      </w:pPr>
      <m:oMathPara>
        <m:oMath>
          <m:r>
            <m:t>Q=</m:t>
          </m:r>
          <m:nary>
            <m:naryPr>
              <m:chr m:val="∑"/>
              <m:limLoc m:val="undOvr"/>
              <m:grow m:val="1"/>
              <m:subHide m:val="off"/>
              <m:supHide m:val="off"/>
            </m:naryPr>
            <m:sub>
              <m:r>
                <m:t>t=1</m:t>
              </m:r>
            </m:sub>
            <m:sup>
              <m:r>
                <m:t>100</m:t>
              </m:r>
            </m:sup>
            <m:e>
              <m:r>
                <m:rPr>
                  <m:nor/>
                </m:rPr>
                <m:t> </m:t>
              </m:r>
            </m:e>
          </m:nary>
          <m:sSub>
            <m:e>
              <m:r>
                <m:t>f</m:t>
              </m:r>
            </m:e>
            <m:sub>
              <m:r>
                <m:t>t</m:t>
              </m:r>
            </m:sub>
          </m:sSub>
          <m:r>
            <m:t>.</m:t>
          </m:r>
        </m:oMath>
      </m:oMathPara>
    </w:p>
    <w:p>
      <w:pPr>
        <w:jc w:val="both"/>
      </w:pPr>
      <w:r>
        <w:rPr>
          <w:b w:val="0"/>
        </w:rPr>
        <w:t>Q越小，表示在更多评测位置上较早获得低目标值。Q未除以100，其除以100后的值为平均过程目标。中断尝试沿用此前最优值，但仍保留预算位置。共同基准已提供有限的初始参照，不以缺失值或零替代尚未改善的结果。</w:t>
      </w:r>
    </w:p>
    <w:p>
      <w:pPr>
        <w:jc w:val="both"/>
      </w:pPr>
      <w:r>
        <w:rPr>
          <w:b w:val="0"/>
        </w:rPr>
        <w:t>同时记录每轮终点、有效生成比例、行为重复比例及逐实例箱数。有效生成比例以生成尝试为分母；行为重复比例以具有可比较行为的候选为分母。行为不同只用于判断搜索是否产生新的决策过程，不单独等同于质量提高。</w:t>
      </w:r>
    </w:p>
    <w:p>
      <w:pPr>
        <w:jc w:val="both"/>
      </w:pPr>
      <w:r>
        <w:rPr>
          <w:b w:val="0"/>
        </w:rPr>
        <w:t>本研究只有三对运行，均值、样本标准差和配对差均作为描述量，不进行显著性检验，也不据此承诺精确的正式样本量。</w:t>
      </w:r>
    </w:p>
    <w:p>
      <w:pPr>
        <w:pStyle w:val="Heading1"/>
      </w:pPr>
      <w:r>
        <w:t>3 固定预算下的总体结果</w:t>
      </w:r>
    </w:p>
    <w:p>
      <w:pPr>
        <w:pStyle w:val="Heading2"/>
      </w:pPr>
      <w:r>
        <w:t>3.1 九个运行的逐轮结果</w:t>
      </w:r>
    </w:p>
    <w:p>
      <w:pPr>
        <w:pStyle w:val="Caption"/>
        <w:keepNext/>
        <w:jc w:val="center"/>
      </w:pPr>
      <w:r>
        <w:rPr>
          <w:b/>
        </w:rPr>
        <w:t>表3 各轮最优超额率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624"/>
        <w:gridCol w:w="1899"/>
        <w:gridCol w:w="1899"/>
        <w:gridCol w:w="1899"/>
        <w:gridCol w:w="1899"/>
      </w:tblGrid>
      <w:tr>
        <w:trPr>
          <w:cantSplit/>
          <w:tblHeader/>
        </w:trPr>
        <w:tc>
          <w:tcPr>
            <w:tcW w:type="dxa" w:w="737"/>
            <w:vAlign w:val="center"/>
            <w:tcMar>
              <w:top w:w="80" w:type="dxa"/>
              <w:left w:w="80" w:type="dxa"/>
              <w:bottom w:w="80" w:type="dxa"/>
              <w:right w:w="80" w:type="dxa"/>
            </w:tcMar>
            <w:shd w:fill="F1F1F1"/>
          </w:tcPr>
          <w:p>
            <w:pPr>
              <w:keepNext/>
              <w:spacing w:line="276" w:lineRule="auto" w:before="0" w:after="0"/>
              <w:ind w:firstLine="0"/>
              <w:jc w:val="center"/>
            </w:pPr>
            <w:r>
              <w:rPr>
                <w:b/>
                <w:sz w:val="19"/>
              </w:rPr>
              <w:t>配对</w:t>
            </w:r>
          </w:p>
        </w:tc>
        <w:tc>
          <w:tcPr>
            <w:tcW w:type="dxa" w:w="624"/>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1899"/>
            <w:vAlign w:val="center"/>
            <w:tcMar>
              <w:top w:w="80" w:type="dxa"/>
              <w:left w:w="80" w:type="dxa"/>
              <w:bottom w:w="80" w:type="dxa"/>
              <w:right w:w="80" w:type="dxa"/>
            </w:tcMar>
            <w:shd w:fill="F1F1F1"/>
          </w:tcPr>
          <w:p>
            <w:pPr>
              <w:keepNext/>
              <w:spacing w:line="276" w:lineRule="auto" w:before="0" w:after="0"/>
              <w:ind w:firstLine="0"/>
              <w:jc w:val="center"/>
            </w:pPr>
            <w:r>
              <w:rPr>
                <w:b/>
                <w:sz w:val="19"/>
              </w:rPr>
              <w:t>第1轮</w:t>
            </w:r>
          </w:p>
        </w:tc>
        <w:tc>
          <w:tcPr>
            <w:tcW w:type="dxa" w:w="1899"/>
            <w:vAlign w:val="center"/>
            <w:tcMar>
              <w:top w:w="80" w:type="dxa"/>
              <w:left w:w="80" w:type="dxa"/>
              <w:bottom w:w="80" w:type="dxa"/>
              <w:right w:w="80" w:type="dxa"/>
            </w:tcMar>
            <w:shd w:fill="F1F1F1"/>
          </w:tcPr>
          <w:p>
            <w:pPr>
              <w:keepNext/>
              <w:spacing w:line="276" w:lineRule="auto" w:before="0" w:after="0"/>
              <w:ind w:firstLine="0"/>
              <w:jc w:val="center"/>
            </w:pPr>
            <w:r>
              <w:rPr>
                <w:b/>
                <w:sz w:val="19"/>
              </w:rPr>
              <w:t>第2轮</w:t>
            </w:r>
          </w:p>
        </w:tc>
        <w:tc>
          <w:tcPr>
            <w:tcW w:type="dxa" w:w="1899"/>
            <w:vAlign w:val="center"/>
            <w:tcMar>
              <w:top w:w="80" w:type="dxa"/>
              <w:left w:w="80" w:type="dxa"/>
              <w:bottom w:w="80" w:type="dxa"/>
              <w:right w:w="80" w:type="dxa"/>
            </w:tcMar>
            <w:shd w:fill="F1F1F1"/>
          </w:tcPr>
          <w:p>
            <w:pPr>
              <w:keepNext/>
              <w:spacing w:line="276" w:lineRule="auto" w:before="0" w:after="0"/>
              <w:ind w:firstLine="0"/>
              <w:jc w:val="center"/>
            </w:pPr>
            <w:r>
              <w:rPr>
                <w:b/>
                <w:sz w:val="19"/>
              </w:rPr>
              <w:t>第3轮</w:t>
            </w:r>
          </w:p>
        </w:tc>
        <w:tc>
          <w:tcPr>
            <w:tcW w:type="dxa" w:w="1899"/>
            <w:vAlign w:val="center"/>
            <w:tcMar>
              <w:top w:w="80" w:type="dxa"/>
              <w:left w:w="80" w:type="dxa"/>
              <w:bottom w:w="80" w:type="dxa"/>
              <w:right w:w="80" w:type="dxa"/>
            </w:tcMar>
            <w:shd w:fill="F1F1F1"/>
          </w:tcPr>
          <w:p>
            <w:pPr>
              <w:keepNext/>
              <w:spacing w:line="276" w:lineRule="auto" w:before="0" w:after="0"/>
              <w:ind w:firstLine="0"/>
              <w:jc w:val="center"/>
            </w:pPr>
            <w:r>
              <w:rPr>
                <w:b/>
                <w:sz w:val="19"/>
              </w:rPr>
              <w:t>第4轮终点</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S1</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0.038636</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0.009156</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0.009156</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0.006842</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S1</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0.039843</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0.039843</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0.038535</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0.037026</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S1</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0.020827</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0.016400</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0.010464</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0.009558</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S2</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0.037931</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0.026763</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0.016802</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0.013683</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S2</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0.036422</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0.026059</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0.026059</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0.026059</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S2</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0.008854</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0.007647</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0.007345</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0.006238</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S3</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0.039541</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0.035215</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0.035215</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0.033706</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S3</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0.032096</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0.031794</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0.031391</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0.030385</w:t>
            </w:r>
          </w:p>
        </w:tc>
      </w:tr>
      <w:tr>
        <w:trPr>
          <w:cantSplit/>
        </w:trPr>
        <w:tc>
          <w:tcPr>
            <w:tcW w:type="dxa" w:w="737"/>
            <w:vAlign w:val="center"/>
            <w:tcMar>
              <w:top w:w="80" w:type="dxa"/>
              <w:left w:w="80" w:type="dxa"/>
              <w:bottom w:w="80" w:type="dxa"/>
              <w:right w:w="80" w:type="dxa"/>
            </w:tcMar>
          </w:tcPr>
          <w:p>
            <w:pPr>
              <w:spacing w:line="276" w:lineRule="auto" w:before="0" w:after="0"/>
              <w:ind w:firstLine="0"/>
              <w:jc w:val="center"/>
            </w:pPr>
            <w:r>
              <w:rPr>
                <w:b w:val="0"/>
                <w:sz w:val="19"/>
              </w:rPr>
              <w:t>S3</w:t>
            </w:r>
          </w:p>
        </w:tc>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0.018010</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0.007043</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0.006741</w:t>
            </w:r>
          </w:p>
        </w:tc>
        <w:tc>
          <w:tcPr>
            <w:tcW w:type="dxa" w:w="1899"/>
            <w:vAlign w:val="center"/>
            <w:tcMar>
              <w:top w:w="80" w:type="dxa"/>
              <w:left w:w="80" w:type="dxa"/>
              <w:bottom w:w="80" w:type="dxa"/>
              <w:right w:w="80" w:type="dxa"/>
            </w:tcMar>
          </w:tcPr>
          <w:p>
            <w:pPr>
              <w:spacing w:line="276" w:lineRule="auto" w:before="0" w:after="0"/>
              <w:ind w:firstLine="0"/>
              <w:jc w:val="center"/>
            </w:pPr>
            <w:r>
              <w:rPr>
                <w:b w:val="0"/>
                <w:sz w:val="19"/>
              </w:rPr>
              <w:t>0.006339</w:t>
            </w:r>
          </w:p>
        </w:tc>
      </w:tr>
    </w:tbl>
    <w:p>
      <w:pPr>
        <w:spacing w:after="0"/>
      </w:pPr>
    </w:p>
    <w:p>
      <w:pPr>
        <w:jc w:val="both"/>
      </w:pPr>
      <w:r>
        <w:rPr>
          <w:b w:val="0"/>
        </w:rPr>
        <w:t>按目标由低至高排列，S1为A、C、B，S2为C、A、B，S3为C、B、A，说明不存在三组在所有种子上完全一致的全序关系。C在三个配对中均优于B，在两个配对中优于A；B只有在S3中优于A。</w:t>
      </w:r>
    </w:p>
    <w:p>
      <w:pPr>
        <w:jc w:val="both"/>
      </w:pPr>
      <w:r>
        <w:rPr>
          <w:b w:val="0"/>
        </w:rPr>
        <w:t>A在S1的第二轮发生较大改善，从0.038636降至0.009156，最终达到0.006842。B在S2第二轮改善后，后两轮保持0.026059。C在S2首轮就达到0.008854，随后逐步降低至0.006238。这些差异说明，最终排名不能替代对改善发生时点的分析。</w:t>
      </w:r>
    </w:p>
    <w:p>
      <w:pPr>
        <w:keepNext/>
        <w:ind w:firstLine="0"/>
        <w:jc w:val="center"/>
      </w:pPr>
      <w:r>
        <w:drawing>
          <wp:inline xmlns:a="http://schemas.openxmlformats.org/drawingml/2006/main" xmlns:pic="http://schemas.openxmlformats.org/drawingml/2006/picture">
            <wp:extent cx="5688000" cy="1641853"/>
            <wp:docPr id="1" name="Picture 1"/>
            <wp:cNvGraphicFramePr>
              <a:graphicFrameLocks noChangeAspect="1"/>
            </wp:cNvGraphicFramePr>
            <a:graphic>
              <a:graphicData uri="http://schemas.openxmlformats.org/drawingml/2006/picture">
                <pic:pic>
                  <pic:nvPicPr>
                    <pic:cNvPr id="0" name="图1_九运行质量曲线.png"/>
                    <pic:cNvPicPr/>
                  </pic:nvPicPr>
                  <pic:blipFill>
                    <a:blip r:embed="rId11"/>
                    <a:stretch>
                      <a:fillRect/>
                    </a:stretch>
                  </pic:blipFill>
                  <pic:spPr>
                    <a:xfrm>
                      <a:off x="0" y="0"/>
                      <a:ext cx="5688000" cy="1641853"/>
                    </a:xfrm>
                    <a:prstGeom prst="rect"/>
                  </pic:spPr>
                </pic:pic>
              </a:graphicData>
            </a:graphic>
          </wp:inline>
        </w:drawing>
      </w:r>
    </w:p>
    <w:p>
      <w:pPr>
        <w:pStyle w:val="Caption"/>
        <w:jc w:val="center"/>
      </w:pPr>
      <w:r>
        <w:t>图1 三个配对下的九条搜索质量曲线</w:t>
      </w:r>
    </w:p>
    <w:p>
      <w:pPr>
        <w:jc w:val="both"/>
      </w:pPr>
      <w:r>
        <w:rPr>
          <w:b w:val="0"/>
        </w:rPr>
        <w:t>图1灰色区域表示第1至第25次评测，即处理差异正式开始前的首轮。该区域内三条曲线已经分化；灰色区域代表共同的初始生成规则，不代表已经实现相同的初始搜索状态。</w:t>
      </w:r>
    </w:p>
    <w:p>
      <w:pPr>
        <w:pStyle w:val="Heading2"/>
      </w:pPr>
      <w:r>
        <w:t>3.2 组内分布与平均过程表现</w:t>
      </w:r>
    </w:p>
    <w:p>
      <w:pPr>
        <w:pStyle w:val="Caption"/>
        <w:keepNext/>
        <w:jc w:val="center"/>
      </w:pPr>
      <w:r>
        <w:rPr>
          <w:b/>
        </w:rPr>
        <w:t>表4 三组结果的描述性汇总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587"/>
        <w:gridCol w:w="1417"/>
        <w:gridCol w:w="1644"/>
        <w:gridCol w:w="1871"/>
        <w:gridCol w:w="1871"/>
      </w:tblGrid>
      <w:tr>
        <w:trPr>
          <w:cantSplit/>
          <w:tblHeader/>
        </w:trPr>
        <w:tc>
          <w:tcPr>
            <w:tcW w:type="dxa" w:w="567"/>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1587"/>
            <w:vAlign w:val="center"/>
            <w:tcMar>
              <w:top w:w="80" w:type="dxa"/>
              <w:left w:w="80" w:type="dxa"/>
              <w:bottom w:w="80" w:type="dxa"/>
              <w:right w:w="80" w:type="dxa"/>
            </w:tcMar>
            <w:shd w:fill="F1F1F1"/>
          </w:tcPr>
          <w:p>
            <w:pPr>
              <w:keepNext/>
              <w:spacing w:line="276" w:lineRule="auto" w:before="0" w:after="0"/>
              <w:ind w:firstLine="0"/>
              <w:jc w:val="center"/>
            </w:pPr>
            <w:r>
              <w:rPr>
                <w:b/>
                <w:sz w:val="19"/>
              </w:rPr>
              <w:t>终点均值</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终点中位数</w:t>
            </w:r>
          </w:p>
        </w:tc>
        <w:tc>
          <w:tcPr>
            <w:tcW w:type="dxa" w:w="1644"/>
            <w:vAlign w:val="center"/>
            <w:tcMar>
              <w:top w:w="80" w:type="dxa"/>
              <w:left w:w="80" w:type="dxa"/>
              <w:bottom w:w="80" w:type="dxa"/>
              <w:right w:w="80" w:type="dxa"/>
            </w:tcMar>
            <w:shd w:fill="F1F1F1"/>
          </w:tcPr>
          <w:p>
            <w:pPr>
              <w:keepNext/>
              <w:spacing w:line="276" w:lineRule="auto" w:before="0" w:after="0"/>
              <w:ind w:firstLine="0"/>
              <w:jc w:val="center"/>
            </w:pPr>
            <w:r>
              <w:rPr>
                <w:b/>
                <w:sz w:val="19"/>
              </w:rPr>
              <w:t>终点样本标准差</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平均累计目标Q</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首轮后平均改善</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0.018077</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0.013683</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0.013960</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2.766509</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0.020626</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0.031157</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0.030385</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0.005524</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3.413489</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0.004964</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0.007378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0.006339</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0.001889</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1.417346</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0.008519</w:t>
            </w:r>
          </w:p>
        </w:tc>
      </w:tr>
    </w:tbl>
    <w:p>
      <w:pPr>
        <w:spacing w:after="0"/>
      </w:pPr>
    </w:p>
    <w:p>
      <w:pPr>
        <w:jc w:val="both"/>
      </w:pPr>
      <w:r>
        <w:rPr>
          <w:b w:val="0"/>
        </w:rPr>
        <w:t>C的终点均值、中位数和平均累计目标均最低；在本组三个观察值中，其离散程度也较小。A的终点波动最大，既包含0.006842的较优结果，也包含0.033706的较弱结果。B的波动相对较小，但终点集中在较高目标区间。因此，较小的离散程度本身不能解释为较好的算法表现。</w:t>
      </w:r>
    </w:p>
    <w:p>
      <w:pPr>
        <w:jc w:val="both"/>
      </w:pPr>
      <w:r>
        <w:rPr>
          <w:b w:val="0"/>
        </w:rPr>
        <w:t>相对于共同最佳适应规则，A、B、C终点均值对应的超额率下降分别为54.63%、21.80%和81.48%。这些比例描述各组相对于一个固定规则的训练成绩，不是反思或经验处理的净效应；也不能改写为箱数减少相同比例。</w:t>
      </w:r>
    </w:p>
    <w:p>
      <w:pPr>
        <w:jc w:val="both"/>
      </w:pPr>
      <w:r>
        <w:rPr>
          <w:b w:val="0"/>
        </w:rPr>
        <w:t>三组首轮之后的平均改善分别为0.020626、0.004964和0.008519。A的后续平均改善反而最大。该现象与C终点最好可以同时成立：终点水平取决于首轮起点与后续变化，起点更低的运行也具有不同的剩余改善空间。</w:t>
      </w:r>
    </w:p>
    <w:p>
      <w:pPr>
        <w:pStyle w:val="Heading2"/>
      </w:pPr>
      <w:r>
        <w:t>3.3 与605次历史基准的联系</w:t>
      </w:r>
    </w:p>
    <w:p>
      <w:pPr>
        <w:jc w:val="both"/>
      </w:pPr>
      <w:r>
        <w:rPr>
          <w:b w:val="0"/>
        </w:rPr>
        <w:t>历史605次实验中最优装箱规则在相同五条流上重新校准后，超额率为0.006741120837。本次C在S2和S3的终点分别为0.006238052118与0.006338665862，均低于该历史候选；C在S1的终点仍高于它，C组终点均值0.007378也高于它。</w:t>
      </w:r>
    </w:p>
    <w:p>
      <w:pPr>
        <w:jc w:val="both"/>
      </w:pPr>
      <w:r>
        <w:rPr>
          <w:b w:val="0"/>
        </w:rPr>
        <w:t>在相同体积下界下，S2和S3相对于历史候选的平均箱数分别减少约1个和0.8个，即五条流合计减少5个和4个箱。这表明本次搜索发现了能够继续改善历史候选成绩的规则，但改善属于固定研究实例上的候选结果。</w:t>
      </w:r>
    </w:p>
    <w:p>
      <w:pPr>
        <w:jc w:val="both"/>
      </w:pPr>
      <w:r>
        <w:rPr>
          <w:b w:val="0"/>
        </w:rPr>
        <w:t>历史最优值来自605次运行后的选择，本次最优值来自九个运行后的选择；搜索投入和信息条件不同。两者可以作为历史水平对照，不能用来证明本次研究流程具有更高的单位预算效率。某一新候选达到与历史候选相近的目标值，也不能据此认定二者使用相同的决策规则。</w:t>
      </w:r>
    </w:p>
    <w:p>
      <w:pPr>
        <w:pStyle w:val="Heading1"/>
      </w:pPr>
      <w:r>
        <w:t>4 首轮差异与处理效应的解释</w:t>
      </w:r>
    </w:p>
    <w:p>
      <w:pPr>
        <w:pStyle w:val="Heading2"/>
      </w:pPr>
      <w:r>
        <w:t>4.1 首轮并未实现相同搜索状态</w:t>
      </w:r>
    </w:p>
    <w:p>
      <w:pPr>
        <w:jc w:val="both"/>
      </w:pPr>
      <w:r>
        <w:rPr>
          <w:b w:val="0"/>
        </w:rPr>
        <w:t>A、B、C首轮目标均值分别为0.038703、0.036120和0.015897。此时各组尚未因显式研究笔记而改变后续计划，C也尚未从先前轮次读取经验，但其首轮表现已经明显更好。</w:t>
      </w:r>
    </w:p>
    <w:p>
      <w:pPr>
        <w:jc w:val="both"/>
      </w:pPr>
      <w:r>
        <w:rPr>
          <w:b w:val="0"/>
        </w:rPr>
        <w:t>因此，相同计划、相同参数和相同搜索种子只统一了部分生成条件，未固定所有生成随机性。把C的终点领先完全解释为经验复用，会将处理开始之前的差异错误归入处理效果。增加相同设计的重复次数或对终点值作更复杂的显著性检验，都不能直接消除这一解释问题。</w:t>
      </w:r>
    </w:p>
    <w:p>
      <w:pPr>
        <w:pStyle w:val="Heading2"/>
      </w:pPr>
      <w:r>
        <w:t>4.2 首轮水平与后续改善的恒等分解</w:t>
      </w:r>
    </w:p>
    <w:p>
      <w:pPr>
        <w:jc w:val="both"/>
      </w:pPr>
      <w:r>
        <w:rPr>
          <w:b w:val="0"/>
        </w:rPr>
        <w:t>记组g在配对s中第r轮的最优目标为</w:t>
      </w:r>
      <m:oMath>
        <m:sSub>
          <m:e>
            <m:r>
              <m:t>F</m:t>
            </m:r>
          </m:e>
          <m:sub>
            <m:r>
              <m:t>s,g,r</m:t>
            </m:r>
          </m:sub>
        </m:sSub>
      </m:oMath>
      <w:r>
        <w:rPr>
          <w:b w:val="0"/>
        </w:rPr>
        <w:t>，并定义首轮之后的改善量</w:t>
      </w:r>
    </w:p>
    <w:p>
      <w:pPr>
        <w:spacing w:before="120" w:after="160" w:line="276" w:lineRule="auto"/>
        <w:ind w:firstLine="0"/>
        <w:jc w:val="center"/>
      </w:pPr>
      <m:oMathPara>
        <m:oMath>
          <m:sSub>
            <m:e>
              <m:r>
                <m:t>G</m:t>
              </m:r>
            </m:e>
            <m:sub>
              <m:r>
                <m:t>s,g</m:t>
              </m:r>
            </m:sub>
          </m:sSub>
          <m:r>
            <m:t>=</m:t>
          </m:r>
          <m:sSub>
            <m:e>
              <m:r>
                <m:t>F</m:t>
              </m:r>
            </m:e>
            <m:sub>
              <m:r>
                <m:t>s,g,1</m:t>
              </m:r>
            </m:sub>
          </m:sSub>
          <m:r>
            <m:t>−</m:t>
          </m:r>
          <m:sSub>
            <m:e>
              <m:r>
                <m:t>F</m:t>
              </m:r>
            </m:e>
            <m:sub>
              <m:r>
                <m:t>s,g,4</m:t>
              </m:r>
            </m:sub>
          </m:sSub>
          <m:r>
            <m:t>.</m:t>
          </m:r>
        </m:oMath>
      </m:oMathPara>
    </w:p>
    <w:p>
      <w:pPr>
        <w:jc w:val="both"/>
      </w:pPr>
      <w:r>
        <w:rPr>
          <w:b w:val="0"/>
        </w:rPr>
        <w:t>C相对于B的终点优势可以分解为</w:t>
      </w:r>
    </w:p>
    <w:p>
      <w:pPr>
        <w:spacing w:before="120" w:after="160" w:line="276" w:lineRule="auto"/>
        <w:ind w:firstLine="0"/>
        <w:jc w:val="center"/>
      </w:pPr>
      <m:oMathPara>
        <m:oMath>
          <m:sSub>
            <m:e>
              <m:r>
                <m:t>F</m:t>
              </m:r>
            </m:e>
            <m:sub>
              <m:r>
                <m:t>s,B,4</m:t>
              </m:r>
            </m:sub>
          </m:sSub>
          <m:r>
            <m:t>−</m:t>
          </m:r>
          <m:sSub>
            <m:e>
              <m:r>
                <m:t>F</m:t>
              </m:r>
            </m:e>
            <m:sub>
              <m:r>
                <m:t>s,C,4</m:t>
              </m:r>
            </m:sub>
          </m:sSub>
          <m:r>
            <m:t>=</m:t>
          </m:r>
          <m:d>
            <m:dPr>
              <m:sepChr m:val=""/>
            </m:dPr>
            <m:e>
              <m:sSub>
                <m:e>
                  <m:r>
                    <m:t>F</m:t>
                  </m:r>
                </m:e>
                <m:sub>
                  <m:r>
                    <m:t>s,B,1</m:t>
                  </m:r>
                </m:sub>
              </m:sSub>
              <m:r>
                <m:t>−</m:t>
              </m:r>
              <m:sSub>
                <m:e>
                  <m:r>
                    <m:t>F</m:t>
                  </m:r>
                </m:e>
                <m:sub>
                  <m:r>
                    <m:t>s,C,1</m:t>
                  </m:r>
                </m:sub>
              </m:sSub>
            </m:e>
          </m:d>
          <m:r>
            <m:t>+</m:t>
          </m:r>
          <m:d>
            <m:dPr>
              <m:sepChr m:val=""/>
            </m:dPr>
            <m:e>
              <m:sSub>
                <m:e>
                  <m:r>
                    <m:t>G</m:t>
                  </m:r>
                </m:e>
                <m:sub>
                  <m:r>
                    <m:t>s,C</m:t>
                  </m:r>
                </m:sub>
              </m:sSub>
              <m:r>
                <m:t>−</m:t>
              </m:r>
              <m:sSub>
                <m:e>
                  <m:r>
                    <m:t>G</m:t>
                  </m:r>
                </m:e>
                <m:sub>
                  <m:r>
                    <m:t>s,B</m:t>
                  </m:r>
                </m:sub>
              </m:sSub>
            </m:e>
          </m:d>
          <m:r>
            <m:t>.</m:t>
          </m:r>
        </m:oMath>
      </m:oMathPara>
    </w:p>
    <w:p>
      <w:pPr>
        <w:jc w:val="both"/>
      </w:pPr>
      <w:r>
        <w:rPr>
          <w:b w:val="0"/>
        </w:rPr>
        <w:t>该式只是两个观察轨迹的算术恒等式，不需要因果假设，也不提供因果识别。对三个配对取平均，C相对B的终点优势0.023778可写为首轮优势0.020223与后续增量差0.003555之和。按这项恒等分解，首轮差距占终点差距约85.05%。</w:t>
      </w:r>
    </w:p>
    <w:p>
      <w:pPr>
        <w:jc w:val="both"/>
      </w:pPr>
      <w:r>
        <w:rPr>
          <w:b w:val="0"/>
        </w:rPr>
        <w:t>这里的85.05%不能表述为“初始随机性解释了85.05%的因果效应”，其余14.95%也不能表述为“记忆的净贡献”。后续改善仍可能受初始规则形态、剩余改进空间、生成随机性和跨运行信息影响。</w:t>
      </w:r>
    </w:p>
    <w:p>
      <w:pPr>
        <w:pStyle w:val="Caption"/>
        <w:keepNext/>
        <w:jc w:val="center"/>
      </w:pPr>
      <w:r>
        <w:rPr>
          <w:b/>
        </w:rPr>
        <w:t>表5 配对差异与首轮后变化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1814"/>
        <w:gridCol w:w="1814"/>
        <w:gridCol w:w="1814"/>
        <w:gridCol w:w="2891"/>
      </w:tblGrid>
      <w:tr>
        <w:trPr>
          <w:cantSplit/>
          <w:tblHeader/>
        </w:trPr>
        <w:tc>
          <w:tcPr>
            <w:tcW w:type="dxa" w:w="624"/>
            <w:vAlign w:val="center"/>
            <w:tcMar>
              <w:top w:w="80" w:type="dxa"/>
              <w:left w:w="80" w:type="dxa"/>
              <w:bottom w:w="80" w:type="dxa"/>
              <w:right w:w="80" w:type="dxa"/>
            </w:tcMar>
            <w:shd w:fill="F1F1F1"/>
          </w:tcPr>
          <w:p>
            <w:pPr>
              <w:keepNext/>
              <w:spacing w:line="276" w:lineRule="auto" w:before="0" w:after="0"/>
              <w:ind w:firstLine="0"/>
              <w:jc w:val="center"/>
            </w:pPr>
            <w:r>
              <w:rPr>
                <w:b/>
                <w:sz w:val="19"/>
              </w:rPr>
              <w:t>配对</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B−A终点差</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C−B首轮差</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C−B终点差</w:t>
            </w:r>
          </w:p>
        </w:tc>
        <w:tc>
          <w:tcPr>
            <w:tcW w:type="dxa" w:w="2891"/>
            <w:vAlign w:val="center"/>
            <w:tcMar>
              <w:top w:w="80" w:type="dxa"/>
              <w:left w:w="80" w:type="dxa"/>
              <w:bottom w:w="80" w:type="dxa"/>
              <w:right w:w="80" w:type="dxa"/>
            </w:tcMar>
            <w:shd w:fill="F1F1F1"/>
          </w:tcPr>
          <w:p>
            <w:pPr>
              <w:keepNext/>
              <w:spacing w:line="276" w:lineRule="auto" w:before="0" w:after="0"/>
              <w:ind w:firstLine="0"/>
              <w:jc w:val="center"/>
            </w:pPr>
            <w:r>
              <w:rPr>
                <w:b/>
                <w:sz w:val="19"/>
              </w:rPr>
              <w:t>C的后续改善−B的后续改善</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S1</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+0.030184</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−0.019016</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−0.027468</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+0.008452</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S2</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+0.012375</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−0.027568</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−0.019821</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−0.007747</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S3</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−0.003320</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−0.014086</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−0.024047</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+0.009961</w:t>
            </w:r>
          </w:p>
        </w:tc>
      </w:tr>
    </w:tbl>
    <w:p>
      <w:pPr>
        <w:spacing w:after="0"/>
      </w:pPr>
    </w:p>
    <w:p>
      <w:pPr>
        <w:jc w:val="both"/>
      </w:pPr>
      <w:r>
        <w:rPr>
          <w:b w:val="0"/>
        </w:rPr>
        <w:t>表5前三项以目标较低为优，最后一项以改善较大为优。S2中，C虽然终点明显优于B，但首轮之后的改善小于B；S1和S3则观察到C在首轮之后改善更多。三个配对的后续增量方向并不一致。</w:t>
      </w:r>
    </w:p>
    <w:p>
      <w:pPr>
        <w:keepNext/>
        <w:ind w:firstLine="0"/>
        <w:jc w:val="center"/>
      </w:pPr>
      <w:r>
        <w:drawing>
          <wp:inline xmlns:a="http://schemas.openxmlformats.org/drawingml/2006/main" xmlns:pic="http://schemas.openxmlformats.org/drawingml/2006/picture">
            <wp:extent cx="5688000" cy="1885306"/>
            <wp:docPr id="2" name="Picture 2"/>
            <wp:cNvGraphicFramePr>
              <a:graphicFrameLocks noChangeAspect="1"/>
            </wp:cNvGraphicFramePr>
            <a:graphic>
              <a:graphicData uri="http://schemas.openxmlformats.org/drawingml/2006/picture">
                <pic:pic>
                  <pic:nvPicPr>
                    <pic:cNvPr id="0" name="图2_首轮差异与后续改善.png"/>
                    <pic:cNvPicPr/>
                  </pic:nvPicPr>
                  <pic:blipFill>
                    <a:blip r:embed="rId12"/>
                    <a:stretch>
                      <a:fillRect/>
                    </a:stretch>
                  </pic:blipFill>
                  <pic:spPr>
                    <a:xfrm>
                      <a:off x="0" y="0"/>
                      <a:ext cx="5688000" cy="1885306"/>
                    </a:xfrm>
                    <a:prstGeom prst="rect"/>
                  </pic:spPr>
                </pic:pic>
              </a:graphicData>
            </a:graphic>
          </wp:inline>
        </w:drawing>
      </w:r>
    </w:p>
    <w:p>
      <w:pPr>
        <w:pStyle w:val="Caption"/>
        <w:jc w:val="center"/>
      </w:pPr>
      <w:r>
        <w:t>图2 首轮水平与首轮后改善的分离分析</w:t>
      </w:r>
    </w:p>
    <w:p>
      <w:pPr>
        <w:jc w:val="both"/>
      </w:pPr>
      <w:r>
        <w:rPr>
          <w:b w:val="0"/>
        </w:rPr>
        <w:t>B与A的比较同样需要谨慎。B在S3终点优于A，但它在首轮已经领先；三个配对中，B的首轮后改善均小于A。这使本批结果无法支持“强制反思稳定提高搜索质量”的判断，却也不能证明反思普遍有害，因为三组并未从相同实际状态出发，且比较次数很少。</w:t>
      </w:r>
    </w:p>
    <w:p>
      <w:pPr>
        <w:pStyle w:val="Heading2"/>
      </w:pPr>
      <w:r>
        <w:t>4.3 信息隔离不足的限制</w:t>
      </w:r>
    </w:p>
    <w:p>
      <w:pPr>
        <w:jc w:val="both"/>
      </w:pPr>
      <w:r>
        <w:rPr>
          <w:b w:val="0"/>
        </w:rPr>
        <w:t>C的显式经验记录仅来自本次运行，未混入其他种子或其他组的经验；但负责分析与计划的同一决策主体曾跨运行阅读各组资料。因此，显式经验来源的隔离不等于全部可用知识的隔离。</w:t>
      </w:r>
    </w:p>
    <w:p>
      <w:pPr>
        <w:jc w:val="both"/>
      </w:pPr>
      <w:r>
        <w:rPr>
          <w:b w:val="0"/>
        </w:rPr>
        <w:t>在这种条件下，某组后续问题可能受到其他运行中已见结构的间接影响。本次资料无法量化这种影响，也不能凭未发生显式跨组经验读取而认定它不存在。后续实验应在信息来源层面形成独立条件，而不只是分别保存经验记录。</w:t>
      </w:r>
    </w:p>
    <w:p>
      <w:pPr>
        <w:pStyle w:val="Heading1"/>
      </w:pPr>
      <w:r>
        <w:t>5 反思与经验复用的具体内容</w:t>
      </w:r>
    </w:p>
    <w:p>
      <w:pPr>
        <w:pStyle w:val="Heading2"/>
      </w:pPr>
      <w:r>
        <w:t>5.1 从现象总结转向可检验问题</w:t>
      </w:r>
    </w:p>
    <w:p>
      <w:pPr>
        <w:jc w:val="both"/>
      </w:pPr>
      <w:r>
        <w:rPr>
          <w:b w:val="0"/>
        </w:rPr>
        <w:t>本次研究笔记不再仅复述“当前结果较好”或“继续优化”。反思内容涉及评分符号与实际选择方向是否一致、不同表达是否产生相同排序、固定公式中某个参数的局部变化，以及总体改善是否掩盖个别实例退化。</w:t>
      </w:r>
    </w:p>
    <w:p>
      <w:pPr>
        <w:jc w:val="both"/>
      </w:pPr>
      <w:r>
        <w:rPr>
          <w:b w:val="0"/>
        </w:rPr>
        <w:t>例如，部分候选声称偏好较满的箱，但其评分却随剩余容量增大而增加。在选择最高评分的条件下，这一项可能偏好空间较大的箱。研究笔记据此提出检查评分方向的问题，而不直接接受规则名称或文字说明。另一些不同表达在所有可比较决策中给出同样选择，说明表达变化未必引起行为变化。</w:t>
      </w:r>
    </w:p>
    <w:p>
      <w:pPr>
        <w:jc w:val="both"/>
      </w:pPr>
      <w:r>
        <w:rPr>
          <w:b w:val="0"/>
        </w:rPr>
        <w:t>这些例子表明，本次显式反思能够提出指向具体候选的机制问题。然而，形成合理问题与提高最终目标是不同结果。B在S2提出了有关周期项和余量排序的区分问题，后两轮目标仍未改善。报告保留这类未产生收益的观察，避免只展示成功的反思案例。</w:t>
      </w:r>
    </w:p>
    <w:p>
      <w:pPr>
        <w:pStyle w:val="Heading2"/>
      </w:pPr>
      <w:r>
        <w:t>5.2 经验内容的适用条件</w:t>
      </w:r>
    </w:p>
    <w:p>
      <w:pPr>
        <w:jc w:val="both"/>
      </w:pPr>
      <w:r>
        <w:rPr>
          <w:b w:val="0"/>
        </w:rPr>
        <w:t>C共形成5条可复用经验，九个后续轮次均实际使用了本次运行较早形成的经验。经验内容不只是保存某个目标值，而是包括“检查最大评分选择下的符号方向”“在准确保留现有公式时做局部对比”“总体改善需同时查看各物品流”等研究原则，以及范围明确的局部参数认识。</w:t>
      </w:r>
    </w:p>
    <w:p>
      <w:pPr>
        <w:jc w:val="both"/>
      </w:pPr>
      <w:r>
        <w:rPr>
          <w:b w:val="0"/>
        </w:rPr>
        <w:t>S1中，同一评分骨架下的不对称系数由0.85增至0.9、再增至1.0，对应目标依次下降。后续研究据此继续考察附近参数，但未把局部趋势扩展为任意增大参数都有效。S3中，一个加法评分形式的中部残差权重1.5优于0.75；当后来换成乘法或倒数结构时，没有把这一系数结论直接移植过去。</w:t>
      </w:r>
    </w:p>
    <w:p>
      <w:pPr>
        <w:jc w:val="both"/>
      </w:pPr>
      <w:r>
        <w:rPr>
          <w:b w:val="0"/>
        </w:rPr>
        <w:t>S2的早期经验针对一种高斯形状评分。后续候选改变主要形状后，仍可保留“固定完整公式做局部比较”的研究原则，却不能继续把旧公式的局部参数建议视为新公式上的结论。适用条件的收缩与保留本身是经验使用的重要内容。</w:t>
      </w:r>
    </w:p>
    <w:p>
      <w:pPr>
        <w:jc w:val="both"/>
      </w:pPr>
      <w:r>
        <w:rPr>
          <w:b w:val="0"/>
        </w:rPr>
        <w:t>以上证据支持“经验被形成并实际参与后续计划”，不能直接证明“由于使用该经验，搜索结果才更好”。经验是否提供了近期反馈之外的新增价值，还需要与等量近期事实等对照条件比较。</w:t>
      </w:r>
    </w:p>
    <w:p>
      <w:pPr>
        <w:pStyle w:val="Heading2"/>
      </w:pPr>
      <w:r>
        <w:t>5.3 一个可解释的局部曲率变化</w:t>
      </w:r>
    </w:p>
    <w:p>
      <w:pPr>
        <w:jc w:val="both"/>
      </w:pPr>
      <w:r>
        <w:rPr>
          <w:b w:val="0"/>
        </w:rPr>
        <w:t>S3的C组第四轮提供了一个较清楚的局部对比。设当前物品尺寸为a，候选箱放置前剩余容量为b，放置后残差为r=b−a。中部残差偏好采用有界倒数形状：</w:t>
      </w:r>
    </w:p>
    <w:p>
      <w:pPr>
        <w:spacing w:before="120" w:after="160" w:line="276" w:lineRule="auto"/>
        <w:ind w:firstLine="0"/>
        <w:jc w:val="center"/>
      </w:pPr>
      <m:oMathPara>
        <m:oMath>
          <m:sSub>
            <m:e>
              <m:r>
                <m:t>φ</m:t>
              </m:r>
            </m:e>
            <m:sub>
              <m:r>
                <m:t>κ</m:t>
              </m:r>
            </m:sub>
          </m:sSub>
          <m:r>
            <m:t>(r)=</m:t>
          </m:r>
          <m:f>
            <m:fPr>
              <m:type m:val="bar"/>
            </m:fPr>
            <m:num>
              <m:r>
                <m:t>1</m:t>
              </m:r>
            </m:num>
            <m:den>
              <m:r>
                <m:t>1+κ(r/100−1/2</m:t>
              </m:r>
              <m:sSup>
                <m:e>
                  <m:r>
                    <m:t>)</m:t>
                  </m:r>
                </m:e>
                <m:sup>
                  <m:r>
                    <m:t>2</m:t>
                  </m:r>
                </m:sup>
              </m:sSup>
            </m:den>
          </m:f>
          <m:r>
            <m:t>.</m:t>
          </m:r>
        </m:oMath>
      </m:oMathPara>
    </w:p>
    <w:p>
      <w:pPr>
        <w:jc w:val="both"/>
      </w:pPr>
      <w:r>
        <w:rPr>
          <w:b w:val="0"/>
        </w:rPr>
        <w:t>令δ(r,a)表示r与非负整数倍物品尺寸之间的最小距离，相应的对齐奖励为</w:t>
      </w:r>
    </w:p>
    <w:p>
      <w:pPr>
        <w:spacing w:before="120" w:after="160" w:line="276" w:lineRule="auto"/>
        <w:ind w:firstLine="0"/>
        <w:jc w:val="center"/>
      </w:pPr>
      <m:oMathPara>
        <m:oMath>
          <m:r>
            <m:t>A(r,a)=</m:t>
          </m:r>
          <m:f>
            <m:fPr>
              <m:type m:val="bar"/>
            </m:fPr>
            <m:num>
              <m:r>
                <m:t>1</m:t>
              </m:r>
            </m:num>
            <m:den>
              <m:r>
                <m:t>1+δ(r,a)/</m:t>
              </m:r>
              <m:r>
                <m:rPr>
                  <m:sty m:val="p"/>
                </m:rPr>
                <m:t>max</m:t>
              </m:r>
              <m:r>
                <m:rPr>
                  <m:nor/>
                </m:rPr>
                <m:t> </m:t>
              </m:r>
              <m:r>
                <m:t>(a,1)</m:t>
              </m:r>
            </m:den>
          </m:f>
          <m:r>
            <m:t>.</m:t>
          </m:r>
        </m:oMath>
      </m:oMathPara>
    </w:p>
    <w:p>
      <w:pPr>
        <w:jc w:val="both"/>
      </w:pPr>
      <w:r>
        <w:rPr>
          <w:b w:val="0"/>
        </w:rPr>
        <w:t>完整局部评分可写为</w:t>
      </w:r>
    </w:p>
    <w:p>
      <w:pPr>
        <w:spacing w:before="120" w:after="160" w:line="276" w:lineRule="auto"/>
        <w:ind w:firstLine="0"/>
        <w:jc w:val="center"/>
      </w:pPr>
      <m:oMathPara>
        <m:oMath>
          <m:sSub>
            <m:e>
              <m:r>
                <m:t>S</m:t>
              </m:r>
            </m:e>
            <m:sub>
              <m:r>
                <m:t>κ</m:t>
              </m:r>
            </m:sub>
          </m:sSub>
          <m:r>
            <m:t>=</m:t>
          </m:r>
          <m:d>
            <m:dPr>
              <m:begChr m:val="["/>
              <m:sepChr m:val=""/>
              <m:endChr m:val="]"/>
            </m:dPr>
            <m:e>
              <m:r>
                <m:t>2</m:t>
              </m:r>
              <m:sSub>
                <m:e>
                  <m:r>
                    <m:t>φ</m:t>
                  </m:r>
                </m:e>
                <m:sub>
                  <m:r>
                    <m:t>κ</m:t>
                  </m:r>
                </m:sub>
              </m:sSub>
              <m:r>
                <m:t>(r)+A(r,a)+3</m:t>
              </m:r>
              <m:r>
                <m:rPr>
                  <m:nor/>
                </m:rPr>
                <m:t> </m:t>
              </m:r>
              <m:sSub>
                <m:e>
                  <m:r>
                    <m:rPr>
                      <m:sty m:val="b"/>
                    </m:rPr>
                    <m:t>1</m:t>
                  </m:r>
                </m:e>
                <m:sub>
                  <m:d>
                    <m:dPr>
                      <m:begChr m:val="{"/>
                      <m:sepChr m:val="="/>
                      <m:endChr m:val="}"/>
                    </m:dPr>
                    <m:e>
                      <m:r>
                        <m:t>r</m:t>
                      </m:r>
                    </m:e>
                    <m:e>
                      <m:r>
                        <m:t>0</m:t>
                      </m:r>
                    </m:e>
                  </m:d>
                </m:sub>
              </m:sSub>
            </m:e>
          </m:d>
          <m:d>
            <m:dPr>
              <m:begChr m:val="["/>
              <m:sepChr m:val=""/>
              <m:endChr m:val="]"/>
            </m:dPr>
            <m:e>
              <m:r>
                <m:t>1−0.05</m:t>
              </m:r>
              <m:r>
                <m:rPr>
                  <m:nor/>
                </m:rPr>
                <m:t> </m:t>
              </m:r>
              <m:sSub>
                <m:e>
                  <m:r>
                    <m:rPr>
                      <m:sty m:val="b"/>
                    </m:rPr>
                    <m:t>1</m:t>
                  </m:r>
                </m:e>
                <m:sub>
                  <m:d>
                    <m:dPr>
                      <m:begChr m:val="{"/>
                      <m:sepChr m:val="="/>
                      <m:endChr m:val="}"/>
                    </m:dPr>
                    <m:e>
                      <m:r>
                        <m:t>b</m:t>
                      </m:r>
                    </m:e>
                    <m:e>
                      <m:r>
                        <m:t>1</m:t>
                      </m:r>
                      <m:r>
                        <m:t>0</m:t>
                      </m:r>
                      <m:r>
                        <m:t>0</m:t>
                      </m:r>
                    </m:e>
                  </m:d>
                </m:sub>
              </m:sSub>
            </m:e>
          </m:d>
          <m:r>
            <m:t>.</m:t>
          </m:r>
        </m:oMath>
      </m:oMathPara>
    </w:p>
    <w:p>
      <w:pPr>
        <w:jc w:val="both"/>
      </w:pPr>
      <w:r>
        <w:rPr>
          <w:b w:val="0"/>
        </w:rPr>
        <w:t>其中，第一项偏好适度的残差空间，对齐项偏好接近物品尺寸整数倍的空间，恰好装满获得额外奖励，新箱受到轻微折扣。在两个相比较的候选中，其他项保持不变，仅将κ从4改为2。</w:t>
      </w:r>
    </w:p>
    <w:p>
      <w:pPr>
        <w:jc w:val="both"/>
      </w:pPr>
      <w:r>
        <w:rPr>
          <w:b w:val="0"/>
        </w:rPr>
        <w:t>对固定r，κ减小会提高偏离50时的形状值，而在r=50处保持为1。因此，该调整使中部偏好的下降更平缓。它改变的是整个评分中的一项，不能简单解释为所有状态下都更偏好某一个固定箱。</w:t>
      </w:r>
    </w:p>
    <w:p>
      <w:pPr>
        <w:pStyle w:val="Caption"/>
        <w:keepNext/>
        <w:jc w:val="center"/>
      </w:pPr>
      <w:r>
        <w:rPr>
          <w:b/>
        </w:rPr>
        <w:t>表6 曲率调整前后的逐实例箱数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9"/>
        <w:gridCol w:w="2239"/>
        <w:gridCol w:w="2239"/>
        <w:gridCol w:w="2239"/>
      </w:tblGrid>
      <w:tr>
        <w:trPr>
          <w:cantSplit/>
          <w:tblHeader/>
        </w:trPr>
        <w:tc>
          <w:tcPr>
            <w:tcW w:type="dxa" w:w="2239"/>
            <w:vAlign w:val="center"/>
            <w:tcMar>
              <w:top w:w="80" w:type="dxa"/>
              <w:left w:w="80" w:type="dxa"/>
              <w:bottom w:w="80" w:type="dxa"/>
              <w:right w:w="80" w:type="dxa"/>
            </w:tcMar>
            <w:shd w:fill="F1F1F1"/>
          </w:tcPr>
          <w:p>
            <w:pPr>
              <w:keepNext/>
              <w:spacing w:line="276" w:lineRule="auto" w:before="0" w:after="0"/>
              <w:ind w:firstLine="0"/>
              <w:jc w:val="center"/>
            </w:pPr>
            <w:r>
              <w:rPr>
                <w:b/>
                <w:sz w:val="19"/>
              </w:rPr>
              <w:t>物品流</w:t>
            </w:r>
          </w:p>
        </w:tc>
        <w:tc>
          <w:tcPr>
            <w:tcW w:type="dxa" w:w="2239"/>
            <w:vAlign w:val="center"/>
            <w:tcMar>
              <w:top w:w="80" w:type="dxa"/>
              <w:left w:w="80" w:type="dxa"/>
              <w:bottom w:w="80" w:type="dxa"/>
              <w:right w:w="80" w:type="dxa"/>
            </w:tcMar>
            <w:shd w:fill="F1F1F1"/>
          </w:tcPr>
          <w:p>
            <w:pPr>
              <w:keepNext/>
              <w:spacing w:line="276" w:lineRule="auto" w:before="0" w:after="0"/>
              <w:ind w:firstLine="0"/>
              <w:jc w:val="center"/>
            </w:pPr>
            <w:r>
              <w:rPr>
                <w:b/>
                <w:sz w:val="19"/>
              </w:rPr>
              <w:t>κ=4</w:t>
            </w:r>
          </w:p>
        </w:tc>
        <w:tc>
          <w:tcPr>
            <w:tcW w:type="dxa" w:w="2239"/>
            <w:vAlign w:val="center"/>
            <w:tcMar>
              <w:top w:w="80" w:type="dxa"/>
              <w:left w:w="80" w:type="dxa"/>
              <w:bottom w:w="80" w:type="dxa"/>
              <w:right w:w="80" w:type="dxa"/>
            </w:tcMar>
            <w:shd w:fill="F1F1F1"/>
          </w:tcPr>
          <w:p>
            <w:pPr>
              <w:keepNext/>
              <w:spacing w:line="276" w:lineRule="auto" w:before="0" w:after="0"/>
              <w:ind w:firstLine="0"/>
              <w:jc w:val="center"/>
            </w:pPr>
            <w:r>
              <w:rPr>
                <w:b/>
                <w:sz w:val="19"/>
              </w:rPr>
              <w:t>κ=2</w:t>
            </w:r>
          </w:p>
        </w:tc>
        <w:tc>
          <w:tcPr>
            <w:tcW w:type="dxa" w:w="2239"/>
            <w:vAlign w:val="center"/>
            <w:tcMar>
              <w:top w:w="80" w:type="dxa"/>
              <w:left w:w="80" w:type="dxa"/>
              <w:bottom w:w="80" w:type="dxa"/>
              <w:right w:w="80" w:type="dxa"/>
            </w:tcMar>
            <w:shd w:fill="F1F1F1"/>
          </w:tcPr>
          <w:p>
            <w:pPr>
              <w:keepNext/>
              <w:spacing w:line="276" w:lineRule="auto" w:before="0" w:after="0"/>
              <w:ind w:firstLine="0"/>
              <w:jc w:val="center"/>
            </w:pPr>
            <w:r>
              <w:rPr>
                <w:b/>
                <w:sz w:val="19"/>
              </w:rPr>
              <w:t>箱数变化</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2030</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2026</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−4</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2</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0</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0</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4</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1997</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1999</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+2</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5</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1993</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1991</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−2</w:t>
            </w:r>
          </w:p>
        </w:tc>
      </w:tr>
      <w:tr>
        <w:trPr>
          <w:cantSplit/>
        </w:trPr>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合计</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10006</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10002</w:t>
            </w:r>
          </w:p>
        </w:tc>
        <w:tc>
          <w:tcPr>
            <w:tcW w:type="dxa" w:w="2239"/>
            <w:vAlign w:val="center"/>
            <w:tcMar>
              <w:top w:w="80" w:type="dxa"/>
              <w:left w:w="80" w:type="dxa"/>
              <w:bottom w:w="80" w:type="dxa"/>
              <w:right w:w="80" w:type="dxa"/>
            </w:tcMar>
          </w:tcPr>
          <w:p>
            <w:pPr>
              <w:spacing w:line="276" w:lineRule="auto" w:before="0" w:after="0"/>
              <w:ind w:firstLine="0"/>
              <w:jc w:val="center"/>
            </w:pPr>
            <w:r>
              <w:rPr>
                <w:b w:val="0"/>
                <w:sz w:val="19"/>
              </w:rPr>
              <w:t>−4</w:t>
            </w:r>
          </w:p>
        </w:tc>
      </w:tr>
    </w:tbl>
    <w:p>
      <w:pPr>
        <w:spacing w:after="0"/>
      </w:pPr>
    </w:p>
    <w:p>
      <w:pPr>
        <w:jc w:val="both"/>
      </w:pPr>
      <w:r>
        <w:rPr>
          <w:b w:val="0"/>
        </w:rPr>
        <w:t>对应超额率由0.006741120837降至0.006338665862，减少0.000402454975；平均箱数减少0.8个。两个实例改善、两个不变、一个退化，说明总体下降并不等价于各实例同时受益。</w:t>
      </w:r>
    </w:p>
    <w:p>
      <w:pPr>
        <w:keepNext/>
        <w:ind w:firstLine="0"/>
        <w:jc w:val="center"/>
      </w:pPr>
      <w:r>
        <w:drawing>
          <wp:inline xmlns:a="http://schemas.openxmlformats.org/drawingml/2006/main" xmlns:pic="http://schemas.openxmlformats.org/drawingml/2006/picture">
            <wp:extent cx="5688000" cy="2385070"/>
            <wp:docPr id="3" name="Picture 3"/>
            <wp:cNvGraphicFramePr>
              <a:graphicFrameLocks noChangeAspect="1"/>
            </wp:cNvGraphicFramePr>
            <a:graphic>
              <a:graphicData uri="http://schemas.openxmlformats.org/drawingml/2006/picture">
                <pic:pic>
                  <pic:nvPicPr>
                    <pic:cNvPr id="0" name="图3_局部曲率调整的实例差异.png"/>
                    <pic:cNvPicPr/>
                  </pic:nvPicPr>
                  <pic:blipFill>
                    <a:blip r:embed="rId13"/>
                    <a:stretch>
                      <a:fillRect/>
                    </a:stretch>
                  </pic:blipFill>
                  <pic:spPr>
                    <a:xfrm>
                      <a:off x="0" y="0"/>
                      <a:ext cx="5688000" cy="2385070"/>
                    </a:xfrm>
                    <a:prstGeom prst="rect"/>
                  </pic:spPr>
                </pic:pic>
              </a:graphicData>
            </a:graphic>
          </wp:inline>
        </w:drawing>
      </w:r>
    </w:p>
    <w:p>
      <w:pPr>
        <w:pStyle w:val="Caption"/>
        <w:jc w:val="center"/>
      </w:pPr>
      <w:r>
        <w:t>图3 曲率局部调整带来的实例间取舍</w:t>
      </w:r>
    </w:p>
    <w:p>
      <w:pPr>
        <w:jc w:val="both"/>
      </w:pPr>
      <w:r>
        <w:rPr>
          <w:b w:val="0"/>
        </w:rPr>
        <w:t>在相同固定物品流和其余评分项不变的条件下，可以将这个局部结果归于此次参数替换对决策过程的影响。但它没有证明κ=2在未见数据上更优，也没有证明提出这项对比必须依赖经验机制。规则参数的局部作用与研究流程的总体因果作用是两个不同问题。</w:t>
      </w:r>
    </w:p>
    <w:p>
      <w:pPr>
        <w:pStyle w:val="Heading2"/>
      </w:pPr>
      <w:r>
        <w:t>5.4 广泛改写与局部解释的边界</w:t>
      </w:r>
    </w:p>
    <w:p>
      <w:pPr>
        <w:jc w:val="both"/>
      </w:pPr>
      <w:r>
        <w:rPr>
          <w:b w:val="0"/>
        </w:rPr>
        <w:t>若下一轮计划要求只改变一个参数，而候选同时改变形状函数、权重、恰好装满奖励和新箱处理，则最终目标即使降低，也不能把全部改善归给原先指定的单项变化。本次多个较优候选属于这种广泛改写。</w:t>
      </w:r>
    </w:p>
    <w:p>
      <w:pPr>
        <w:jc w:val="both"/>
      </w:pPr>
      <w:r>
        <w:rPr>
          <w:b w:val="0"/>
        </w:rPr>
        <w:t>例如，S3的B组曾围绕形状宽度开展研究，但最终较优候选改为另一种相乘的评分形式；S1的C组最终较优候选也改变了指数项。因此，本文将合法发现的较优规则保留为搜索结果，同时仅对实际保持其他条件不变的局部候选作单因素解释。</w:t>
      </w:r>
    </w:p>
    <w:p>
      <w:pPr>
        <w:jc w:val="both"/>
      </w:pPr>
      <w:r>
        <w:rPr>
          <w:b w:val="0"/>
        </w:rPr>
        <w:t>该区分也影响后续设计。若为了严格执行局部计划而拒绝广泛改写的候选，就同时改变了搜索空间与资源分配方式。这可以成为新的实验条件，但不能据此重新解释已经完成的本次结果。</w:t>
      </w:r>
    </w:p>
    <w:p>
      <w:pPr>
        <w:pStyle w:val="Heading1"/>
      </w:pPr>
      <w:r>
        <w:t>6 搜索有效性与成本</w:t>
      </w:r>
    </w:p>
    <w:p>
      <w:pPr>
        <w:pStyle w:val="Caption"/>
        <w:keepNext/>
        <w:jc w:val="center"/>
      </w:pPr>
      <w:r>
        <w:rPr>
          <w:b/>
        </w:rPr>
        <w:t>表7 候选状态与已知成本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587"/>
        <w:gridCol w:w="1417"/>
        <w:gridCol w:w="1644"/>
        <w:gridCol w:w="1871"/>
        <w:gridCol w:w="1871"/>
      </w:tblGrid>
      <w:tr>
        <w:trPr>
          <w:cantSplit/>
          <w:tblHeader/>
        </w:trPr>
        <w:tc>
          <w:tcPr>
            <w:tcW w:type="dxa" w:w="567"/>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1587"/>
            <w:vAlign w:val="center"/>
            <w:tcMar>
              <w:top w:w="80" w:type="dxa"/>
              <w:left w:w="80" w:type="dxa"/>
              <w:bottom w:w="80" w:type="dxa"/>
              <w:right w:w="80" w:type="dxa"/>
            </w:tcMar>
            <w:shd w:fill="F1F1F1"/>
          </w:tcPr>
          <w:p>
            <w:pPr>
              <w:keepNext/>
              <w:spacing w:line="276" w:lineRule="auto" w:before="0" w:after="0"/>
              <w:ind w:firstLine="0"/>
              <w:jc w:val="center"/>
            </w:pPr>
            <w:r>
              <w:rPr>
                <w:b/>
                <w:sz w:val="19"/>
              </w:rPr>
              <w:t>有效生成数／尝试数</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有效率</w:t>
            </w:r>
          </w:p>
        </w:tc>
        <w:tc>
          <w:tcPr>
            <w:tcW w:type="dxa" w:w="1644"/>
            <w:vAlign w:val="center"/>
            <w:tcMar>
              <w:top w:w="80" w:type="dxa"/>
              <w:left w:w="80" w:type="dxa"/>
              <w:bottom w:w="80" w:type="dxa"/>
              <w:right w:w="80" w:type="dxa"/>
            </w:tcMar>
            <w:shd w:fill="F1F1F1"/>
          </w:tcPr>
          <w:p>
            <w:pPr>
              <w:keepNext/>
              <w:spacing w:line="276" w:lineRule="auto" w:before="0" w:after="0"/>
              <w:ind w:firstLine="0"/>
              <w:jc w:val="center"/>
            </w:pPr>
            <w:r>
              <w:rPr>
                <w:b/>
                <w:sz w:val="19"/>
              </w:rPr>
              <w:t>重复数／可比较数</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平均生成模型词元</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平均搜索阶段秒数</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241／252</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95.63%</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112／241</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319121</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717.12</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244／252</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96.83%</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132／244</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310432</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576.41</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238／252</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94.44%</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110／238</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358758</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685.65</w:t>
            </w:r>
          </w:p>
        </w:tc>
      </w:tr>
    </w:tbl>
    <w:p>
      <w:pPr>
        <w:spacing w:after="0"/>
      </w:pPr>
    </w:p>
    <w:p>
      <w:pPr>
        <w:jc w:val="both"/>
      </w:pPr>
      <w:r>
        <w:rPr>
          <w:b w:val="0"/>
        </w:rPr>
        <w:t>B的有效生成比例最高，但平均终点质量最差；C的有效比例略低，终点质量却较好。因此，可评价候选比例衡量搜索的可用产出，不直接衡量最终解质量。</w:t>
      </w:r>
    </w:p>
    <w:p>
      <w:pPr>
        <w:jc w:val="both"/>
      </w:pPr>
      <w:r>
        <w:rPr>
          <w:b w:val="0"/>
        </w:rPr>
        <w:t>A、B、C的行为重复比例分别为46.47%、54.10%和46.22%。B较高的重复比例与其较小的后续改善同时出现，但该共同变化不足以识别因果方向。不同形式可能产生相同排序，行为差异也可能只带来较差选择，故不能把重复较少单独解释为算法质量提高。</w:t>
      </w:r>
    </w:p>
    <w:p>
      <w:pPr>
        <w:jc w:val="both"/>
      </w:pPr>
      <w:r>
        <w:rPr>
          <w:b w:val="0"/>
        </w:rPr>
        <w:t>九个运行共发出815次候选生成请求，已记录的候选生成模型输入与输出合计2964934个词元。词元是模型处理和生成文本的计量单位。C的平均生成词元比B高约15.57%，表明本次更好的训练结果并非在所有资源维度上保持相同投入。</w:t>
      </w:r>
    </w:p>
    <w:p>
      <w:pPr>
        <w:jc w:val="both"/>
      </w:pPr>
      <w:r>
        <w:rPr>
          <w:b w:val="0"/>
        </w:rPr>
        <w:t>外层分析与计划所消耗的精确词元和可归属时间不可得，因此总模型消耗与完整研究耗时均未知。未知值不能按零计入。表7的时间仅表示各运行搜索阶段的累计耗时；九个运行耗时之和5937.54秒也不是整个批次的端到端时间。本文据此不宣称C具有总体成本优势，也不以生成词元代替总模型成本。</w:t>
      </w:r>
    </w:p>
    <w:p>
      <w:pPr>
        <w:pStyle w:val="Heading1"/>
      </w:pPr>
      <w:r>
        <w:t>7 结论边界与后续研究</w:t>
      </w:r>
    </w:p>
    <w:p>
      <w:pPr>
        <w:pStyle w:val="Heading2"/>
      </w:pPr>
      <w:r>
        <w:t>7.1 本阶段能够支持的结论</w:t>
      </w:r>
    </w:p>
    <w:p>
      <w:pPr>
        <w:jc w:val="both"/>
      </w:pPr>
      <w:r>
        <w:rPr>
          <w:b w:val="0"/>
        </w:rPr>
        <w:t>本次九个运行在统一评测次数下完成了对三种研究流程的先导比较。C取得最低终点均值，并在三个配对中均优于B；B相对于A未表现出一致的终点优势。该结果构成继续研究的质量信号，但尚不能形成处理有效性的确认性结论。</w:t>
      </w:r>
    </w:p>
    <w:p>
      <w:pPr>
        <w:jc w:val="both"/>
      </w:pPr>
      <w:r>
        <w:rPr>
          <w:b w:val="0"/>
        </w:rPr>
        <w:t>从研究内容看，显式反思已能够围绕真实候选提出有区别的机制问题，经验积累也体现了适用条件和不确定性。局部曲率对比进一步说明，部分问题可以被转化为数学上明确的参数变化，并观察到可解释的实例差异。</w:t>
      </w:r>
    </w:p>
    <w:p>
      <w:pPr>
        <w:jc w:val="both"/>
      </w:pPr>
      <w:r>
        <w:rPr>
          <w:b w:val="0"/>
        </w:rPr>
        <w:t>这批材料在论文中的主要价值，是连接历史候选发现与后续机制验证：既保留了较好的搜索结果，也揭示了为何首轮状态、信息隔离和实际改动范围会影响结论。</w:t>
      </w:r>
    </w:p>
    <w:p>
      <w:pPr>
        <w:pStyle w:val="Heading2"/>
      </w:pPr>
      <w:r>
        <w:t>7.2 尚不能支持的结论</w:t>
      </w:r>
    </w:p>
    <w:p>
      <w:pPr>
        <w:jc w:val="both"/>
      </w:pPr>
      <w:r>
        <w:rPr>
          <w:b w:val="0"/>
        </w:rPr>
        <w:t>本次不能证明强制反思稳定优于直接计划，不能证明在线经验导致了C组的全部或部分终点优势，也不能证明该优势在未知物品分布上成立。C在处理开始之前已经领先，不能通过终点排名补足因果依据。</w:t>
      </w:r>
    </w:p>
    <w:p>
      <w:pPr>
        <w:jc w:val="both"/>
      </w:pPr>
      <w:r>
        <w:rPr>
          <w:b w:val="0"/>
        </w:rPr>
        <w:t>九个运行只有三个配对单位，五条物品流又共同参与候选选择。不能把九个运行与五个实例相乘，视为45个独立处理重复；也不能把24条内容不同的假设视为24次有效机制验证。</w:t>
      </w:r>
    </w:p>
    <w:p>
      <w:pPr>
        <w:jc w:val="both"/>
      </w:pPr>
      <w:r>
        <w:rPr>
          <w:b w:val="0"/>
        </w:rPr>
        <w:t>首轮后的差值调整属于补充描述，不消除初始状态差异和跨运行信息影响。完整成本缺失则使“相同总投入下更优”的判断同样缺乏依据。</w:t>
      </w:r>
    </w:p>
    <w:p>
      <w:pPr>
        <w:pStyle w:val="Heading2"/>
      </w:pPr>
      <w:r>
        <w:t>7.3 后续优先改进的实验设计</w:t>
      </w:r>
    </w:p>
    <w:p>
      <w:pPr>
        <w:jc w:val="both"/>
      </w:pPr>
      <w:r>
        <w:rPr>
          <w:b w:val="0"/>
        </w:rPr>
        <w:t>下一阶段首先应让每个配对下的三组从同一实际首轮状态出发，包括相同的候选集合、评价事实和当前最优规则，再分别施加三种处理。共同首轮与后续分支如何计入总评测预算，应在实验前明确。这样才能把第二至第四轮的比较更直接地对应于处理差异。</w:t>
      </w:r>
    </w:p>
    <w:p>
      <w:pPr>
        <w:jc w:val="both"/>
      </w:pPr>
      <w:r>
        <w:rPr>
          <w:b w:val="0"/>
        </w:rPr>
        <w:t>其次，应为三组提供相互隔离的分析语境，防止未明示的跨组知识进入。C仍从空白经验开始，仅积累该分支处理后形成的认识；A与B仍使用同一种材料构造方法。</w:t>
      </w:r>
    </w:p>
    <w:p>
      <w:pPr>
        <w:jc w:val="both"/>
      </w:pPr>
      <w:r>
        <w:rPr>
          <w:b w:val="0"/>
        </w:rPr>
        <w:t>再次，应区分实际单因素候选与广泛改写候选，分别讨论局部机制与整体搜索质量。关于经验价值，可增加内容长度相近的近期事实对照，以区分可复用认识与额外信息量的作用。</w:t>
      </w:r>
    </w:p>
    <w:p>
      <w:pPr>
        <w:jc w:val="both"/>
      </w:pPr>
      <w:r>
        <w:rPr>
          <w:b w:val="0"/>
        </w:rPr>
        <w:t>在这些条件明确后，再以最小有意义的质量改善、预算和新的方差估计确定正式样本量。候选选择与停止规则应先于最终独立评测固定，不能根据独立测试结果返回调整。上述共同起点与信息隔离的设计后来用于第二批诊断，结果见第9节。内容长度相近的经验对照和独立评测仍属后续研究问题。</w:t>
      </w:r>
    </w:p>
    <w:p>
      <w:pPr>
        <w:pStyle w:val="Heading1"/>
      </w:pPr>
      <w:r>
        <w:t>8 首批实验小结</w:t>
      </w:r>
    </w:p>
    <w:p>
      <w:pPr>
        <w:jc w:val="both"/>
      </w:pPr>
      <w:r>
        <w:rPr>
          <w:b w:val="0"/>
        </w:rPr>
        <w:t>首批实验在历史在线装箱任务上完成了三组、三个配对种子、共900次评测尝试的先导分析。直接计划、显式反思和反思加在线经验三组的终点超额率均值依次为0.018077、0.031157和0.007378。C组表现出较好的训练质量，但其首轮已存在明显优势；B组也未显示稳定优于A组的结果。因此，终点排名不能直接转换为反思或经验积累的因果结论。</w:t>
      </w:r>
    </w:p>
    <w:p>
      <w:pPr>
        <w:jc w:val="both"/>
      </w:pPr>
      <w:r>
        <w:rPr>
          <w:b w:val="0"/>
        </w:rPr>
        <w:t>这批材料更明确地展示了由具体候选事实形成研究问题、限定经验适用条件以及检验局部参数变化的过程。首轮状态差异促使研究进一步采用共同实际起点开展对照，以缩小解释上的不确定性。</w:t>
      </w:r>
    </w:p>
    <w:p>
      <w:pPr>
        <w:pStyle w:val="Heading1"/>
      </w:pPr>
      <w:r>
        <w:t>9 共同首轮配对实验</w:t>
      </w:r>
    </w:p>
    <w:p>
      <w:pPr>
        <w:pStyle w:val="Heading2"/>
      </w:pPr>
      <w:r>
        <w:t>9.1 共同起点与预算计量</w:t>
      </w:r>
    </w:p>
    <w:p>
      <w:pPr>
        <w:jc w:val="both"/>
      </w:pPr>
      <w:r>
        <w:rPr>
          <w:b w:val="0"/>
        </w:rPr>
        <w:t>为消除首批实验中处理开始之前的组间差异，第二批对每个搜索种子只进行一次25次评测的共同首轮。随后将同一候选集合、逐实例结果、当前最优规则和比较材料分别作为A、B、C三组的起点。每组再完成三轮、每轮25次评测，形成各有100个位置的质量轨迹。三个配对种子记为T1、T2和T3，与首批S1至S3不同；各配对的共同首轮实际最优超额率分别为0.035315、0.038133和0.022336。</w:t>
      </w:r>
    </w:p>
    <w:p>
      <w:pPr>
        <w:jc w:val="both"/>
      </w:pPr>
      <w:r>
        <w:rPr>
          <w:b w:val="0"/>
        </w:rPr>
        <w:t>本批实际评测数为3×(25+3×75)=750。若按三组各自的100个位置记录，则共有900个预算位置，其中150个位置对应被三组共同使用的首轮事实，不能解释为新增评测。每个配对内部的首轮候选与评价结果一致；各组处理从首轮结束后开始。A与B获得相同结构和选择规则的材料，C从空白经验开始，只能使用本分支较早轮次的记录。观察区间因此主要为第26至100次评测。</w:t>
      </w:r>
    </w:p>
    <w:p>
      <w:pPr>
        <w:jc w:val="both"/>
      </w:pPr>
      <w:r>
        <w:rPr>
          <w:b w:val="0"/>
        </w:rPr>
        <w:t>记第t次评测后的最优超额率为fₜ。第二至第四轮的过程指标定义为第26至100次的fₜ之和，记为Q₂₆:₁₀₀；它越低，表示处理开始后较早取得并保持较低目标。本批依旧只在相同评测次数下比较，不将分析主体的文字处理成本视为相同。</w:t>
      </w:r>
    </w:p>
    <w:p>
      <w:pPr>
        <w:pStyle w:val="Heading2"/>
      </w:pPr>
      <w:r>
        <w:t>9.2 终点与过程结果</w:t>
      </w:r>
    </w:p>
    <w:p>
      <w:pPr>
        <w:pStyle w:val="Caption"/>
        <w:keepNext/>
        <w:jc w:val="center"/>
      </w:pPr>
      <w:r>
        <w:rPr>
          <w:b/>
        </w:rPr>
        <w:t>表8 共同首轮后各分支的逐轮最优超额率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55"/>
        <w:gridCol w:w="1227"/>
        <w:gridCol w:w="1227"/>
        <w:gridCol w:w="1227"/>
        <w:gridCol w:w="1227"/>
        <w:gridCol w:w="1426"/>
        <w:gridCol w:w="1369"/>
      </w:tblGrid>
      <w:tr>
        <w:trPr>
          <w:cantSplit/>
          <w:tblHeader/>
        </w:trPr>
        <w:tc>
          <w:tcPr>
            <w:tcW w:type="dxa" w:w="1255"/>
            <w:vAlign w:val="center"/>
            <w:tcMar>
              <w:top w:w="80" w:type="dxa"/>
              <w:left w:w="80" w:type="dxa"/>
              <w:bottom w:w="80" w:type="dxa"/>
              <w:right w:w="80" w:type="dxa"/>
            </w:tcMar>
            <w:shd w:fill="F1F1F1"/>
          </w:tcPr>
          <w:p>
            <w:pPr>
              <w:keepNext/>
              <w:spacing w:line="276" w:lineRule="auto" w:before="0" w:after="0"/>
              <w:ind w:firstLine="0"/>
              <w:jc w:val="center"/>
            </w:pPr>
            <w:r>
              <w:rPr>
                <w:b/>
                <w:sz w:val="19"/>
              </w:rPr>
              <w:t>配对</w:t>
            </w:r>
          </w:p>
        </w:tc>
        <w:tc>
          <w:tcPr>
            <w:tcW w:type="dxa" w:w="1227"/>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1227"/>
            <w:vAlign w:val="center"/>
            <w:tcMar>
              <w:top w:w="80" w:type="dxa"/>
              <w:left w:w="80" w:type="dxa"/>
              <w:bottom w:w="80" w:type="dxa"/>
              <w:right w:w="80" w:type="dxa"/>
            </w:tcMar>
            <w:shd w:fill="F1F1F1"/>
          </w:tcPr>
          <w:p>
            <w:pPr>
              <w:keepNext/>
              <w:spacing w:line="276" w:lineRule="auto" w:before="0" w:after="0"/>
              <w:ind w:firstLine="0"/>
              <w:jc w:val="center"/>
            </w:pPr>
            <w:r>
              <w:rPr>
                <w:b/>
                <w:sz w:val="19"/>
              </w:rPr>
              <w:t>共同首轮</w:t>
            </w:r>
          </w:p>
        </w:tc>
        <w:tc>
          <w:tcPr>
            <w:tcW w:type="dxa" w:w="1227"/>
            <w:vAlign w:val="center"/>
            <w:tcMar>
              <w:top w:w="80" w:type="dxa"/>
              <w:left w:w="80" w:type="dxa"/>
              <w:bottom w:w="80" w:type="dxa"/>
              <w:right w:w="80" w:type="dxa"/>
            </w:tcMar>
            <w:shd w:fill="F1F1F1"/>
          </w:tcPr>
          <w:p>
            <w:pPr>
              <w:keepNext/>
              <w:spacing w:line="276" w:lineRule="auto" w:before="0" w:after="0"/>
              <w:ind w:firstLine="0"/>
              <w:jc w:val="center"/>
            </w:pPr>
            <w:r>
              <w:rPr>
                <w:b/>
                <w:sz w:val="19"/>
              </w:rPr>
              <w:t>第2轮</w:t>
            </w:r>
          </w:p>
        </w:tc>
        <w:tc>
          <w:tcPr>
            <w:tcW w:type="dxa" w:w="1227"/>
            <w:vAlign w:val="center"/>
            <w:tcMar>
              <w:top w:w="80" w:type="dxa"/>
              <w:left w:w="80" w:type="dxa"/>
              <w:bottom w:w="80" w:type="dxa"/>
              <w:right w:w="80" w:type="dxa"/>
            </w:tcMar>
            <w:shd w:fill="F1F1F1"/>
          </w:tcPr>
          <w:p>
            <w:pPr>
              <w:keepNext/>
              <w:spacing w:line="276" w:lineRule="auto" w:before="0" w:after="0"/>
              <w:ind w:firstLine="0"/>
              <w:jc w:val="center"/>
            </w:pPr>
            <w:r>
              <w:rPr>
                <w:b/>
                <w:sz w:val="19"/>
              </w:rPr>
              <w:t>第3轮</w:t>
            </w:r>
          </w:p>
        </w:tc>
        <w:tc>
          <w:tcPr>
            <w:tcW w:type="dxa" w:w="1426"/>
            <w:vAlign w:val="center"/>
            <w:tcMar>
              <w:top w:w="80" w:type="dxa"/>
              <w:left w:w="80" w:type="dxa"/>
              <w:bottom w:w="80" w:type="dxa"/>
              <w:right w:w="80" w:type="dxa"/>
            </w:tcMar>
            <w:shd w:fill="F1F1F1"/>
          </w:tcPr>
          <w:p>
            <w:pPr>
              <w:keepNext/>
              <w:spacing w:line="276" w:lineRule="auto" w:before="0" w:after="0"/>
              <w:ind w:firstLine="0"/>
              <w:jc w:val="center"/>
            </w:pPr>
            <w:r>
              <w:rPr>
                <w:b/>
                <w:sz w:val="19"/>
              </w:rPr>
              <w:t>第4轮终点</w:t>
            </w:r>
          </w:p>
        </w:tc>
        <w:tc>
          <w:tcPr>
            <w:tcW w:type="dxa" w:w="1369"/>
            <w:vAlign w:val="center"/>
            <w:tcMar>
              <w:top w:w="80" w:type="dxa"/>
              <w:left w:w="80" w:type="dxa"/>
              <w:bottom w:w="80" w:type="dxa"/>
              <w:right w:w="80" w:type="dxa"/>
            </w:tcMar>
            <w:shd w:fill="F1F1F1"/>
          </w:tcPr>
          <w:p>
            <w:pPr>
              <w:keepNext/>
              <w:spacing w:line="276" w:lineRule="auto" w:before="0" w:after="0"/>
              <w:ind w:firstLine="0"/>
              <w:jc w:val="center"/>
            </w:pPr>
            <w:r>
              <w:rPr>
                <w:b/>
                <w:sz w:val="19"/>
              </w:rPr>
              <w:t>后三轮累计目标</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T1</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0.035315</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0.010363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0.009156</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0.007546</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1.161284</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T1</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0.035315</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0.008452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0.008049</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0.008049</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0.885300</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T1</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0.035315</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0.008150</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0.006641</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0.006339</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0.966898</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0.038133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0.032498</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0.007043</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0.006842</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1.553778</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0.038133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0.033806</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0.033806</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0.008150</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2.248315</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0.038133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0.038032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0.037227</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0.037227</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2.822920</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0.022336</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0.018312</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0.013382</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0.013382</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1.304658</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0.022336</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0.021229</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0.008049</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0.007647</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1.053627</w:t>
            </w:r>
          </w:p>
        </w:tc>
      </w:tr>
      <w:tr>
        <w:trPr>
          <w:cantSplit/>
        </w:trPr>
        <w:tc>
          <w:tcPr>
            <w:tcW w:type="dxa" w:w="1255"/>
            <w:vAlign w:val="center"/>
            <w:tcMar>
              <w:top w:w="80" w:type="dxa"/>
              <w:left w:w="80" w:type="dxa"/>
              <w:bottom w:w="80" w:type="dxa"/>
              <w:right w:w="80" w:type="dxa"/>
            </w:tcMar>
          </w:tcPr>
          <w:p>
            <w:pPr>
              <w:spacing w:line="276" w:lineRule="auto" w:before="0" w:after="0"/>
              <w:ind w:firstLine="0"/>
              <w:jc w:val="center"/>
            </w:pPr>
            <w:r>
              <w:rPr>
                <w:b w:val="0"/>
                <w:sz w:val="19"/>
              </w:rPr>
              <w:t>T3</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0.022336</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0.009961</w:t>
            </w:r>
          </w:p>
        </w:tc>
        <w:tc>
          <w:tcPr>
            <w:tcW w:type="dxa" w:w="1227"/>
            <w:vAlign w:val="center"/>
            <w:tcMar>
              <w:top w:w="80" w:type="dxa"/>
              <w:left w:w="80" w:type="dxa"/>
              <w:bottom w:w="80" w:type="dxa"/>
              <w:right w:w="80" w:type="dxa"/>
            </w:tcMar>
          </w:tcPr>
          <w:p>
            <w:pPr>
              <w:spacing w:line="276" w:lineRule="auto" w:before="0" w:after="0"/>
              <w:ind w:firstLine="0"/>
              <w:jc w:val="center"/>
            </w:pPr>
            <w:r>
              <w:rPr>
                <w:b w:val="0"/>
                <w:sz w:val="19"/>
              </w:rPr>
              <w:t>0.006641</w:t>
            </w:r>
          </w:p>
        </w:tc>
        <w:tc>
          <w:tcPr>
            <w:tcW w:type="dxa" w:w="1426"/>
            <w:vAlign w:val="center"/>
            <w:tcMar>
              <w:top w:w="80" w:type="dxa"/>
              <w:left w:w="80" w:type="dxa"/>
              <w:bottom w:w="80" w:type="dxa"/>
              <w:right w:w="80" w:type="dxa"/>
            </w:tcMar>
          </w:tcPr>
          <w:p>
            <w:pPr>
              <w:spacing w:line="276" w:lineRule="auto" w:before="0" w:after="0"/>
              <w:ind w:firstLine="0"/>
              <w:jc w:val="center"/>
            </w:pPr>
            <w:r>
              <w:rPr>
                <w:b w:val="0"/>
                <w:sz w:val="19"/>
              </w:rPr>
              <w:t>0.006137</w:t>
            </w:r>
          </w:p>
        </w:tc>
        <w:tc>
          <w:tcPr>
            <w:tcW w:type="dxa" w:w="1369"/>
            <w:vAlign w:val="center"/>
            <w:tcMar>
              <w:top w:w="80" w:type="dxa"/>
              <w:left w:w="80" w:type="dxa"/>
              <w:bottom w:w="80" w:type="dxa"/>
              <w:right w:w="80" w:type="dxa"/>
            </w:tcMar>
          </w:tcPr>
          <w:p>
            <w:pPr>
              <w:spacing w:line="276" w:lineRule="auto" w:before="0" w:after="0"/>
              <w:ind w:firstLine="0"/>
              <w:jc w:val="center"/>
            </w:pPr>
            <w:r>
              <w:rPr>
                <w:b w:val="0"/>
                <w:sz w:val="19"/>
              </w:rPr>
              <w:t>0.753496</w:t>
            </w:r>
          </w:p>
        </w:tc>
      </w:tr>
    </w:tbl>
    <w:p>
      <w:pPr>
        <w:spacing w:after="0"/>
      </w:pPr>
    </w:p>
    <w:p>
      <w:pPr>
        <w:jc w:val="both"/>
      </w:pPr>
      <w:r>
        <w:rPr>
          <w:b w:val="0"/>
        </w:rPr>
        <w:t>表8显示，相同首轮并未带来统一的处理排序。T1的B组较A组更早取得较低目标，故其后三轮累计目标较小，但A在终点略优于B；C在终点优于B，过程指标却略大。T2中A在第三轮明显改善，B直到第四轮才获得接近的结果，C则在后三轮一直未能摆脱相对较高的超额率。T3中C在第二轮即有明显改善，B在第三轮改善，A的终点仍较高。仅观察终点会遗漏改善发生的时点，反之也不能用某一段过程优势代替终点结论。</w:t>
      </w:r>
    </w:p>
    <w:p>
      <w:pPr>
        <w:pStyle w:val="Caption"/>
        <w:keepNext/>
        <w:jc w:val="center"/>
      </w:pPr>
      <w:r>
        <w:rPr>
          <w:b/>
        </w:rPr>
        <w:t>表9 共同首轮实验的组内描述量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587"/>
        <w:gridCol w:w="1417"/>
        <w:gridCol w:w="1644"/>
        <w:gridCol w:w="1871"/>
        <w:gridCol w:w="1871"/>
      </w:tblGrid>
      <w:tr>
        <w:trPr>
          <w:cantSplit/>
          <w:tblHeader/>
        </w:trPr>
        <w:tc>
          <w:tcPr>
            <w:tcW w:type="dxa" w:w="567"/>
            <w:vAlign w:val="center"/>
            <w:tcMar>
              <w:top w:w="80" w:type="dxa"/>
              <w:left w:w="80" w:type="dxa"/>
              <w:bottom w:w="80" w:type="dxa"/>
              <w:right w:w="80" w:type="dxa"/>
            </w:tcMar>
            <w:shd w:fill="F1F1F1"/>
          </w:tcPr>
          <w:p>
            <w:pPr>
              <w:keepNext/>
              <w:spacing w:line="276" w:lineRule="auto" w:before="0" w:after="0"/>
              <w:ind w:firstLine="0"/>
              <w:jc w:val="center"/>
            </w:pPr>
            <w:r>
              <w:rPr>
                <w:b/>
                <w:sz w:val="19"/>
              </w:rPr>
              <w:t>组别</w:t>
            </w:r>
          </w:p>
        </w:tc>
        <w:tc>
          <w:tcPr>
            <w:tcW w:type="dxa" w:w="1587"/>
            <w:vAlign w:val="center"/>
            <w:tcMar>
              <w:top w:w="80" w:type="dxa"/>
              <w:left w:w="80" w:type="dxa"/>
              <w:bottom w:w="80" w:type="dxa"/>
              <w:right w:w="80" w:type="dxa"/>
            </w:tcMar>
            <w:shd w:fill="F1F1F1"/>
          </w:tcPr>
          <w:p>
            <w:pPr>
              <w:keepNext/>
              <w:spacing w:line="276" w:lineRule="auto" w:before="0" w:after="0"/>
              <w:ind w:firstLine="0"/>
              <w:jc w:val="center"/>
            </w:pPr>
            <w:r>
              <w:rPr>
                <w:b/>
                <w:sz w:val="19"/>
              </w:rPr>
              <w:t>终点均值</w:t>
            </w:r>
          </w:p>
        </w:tc>
        <w:tc>
          <w:tcPr>
            <w:tcW w:type="dxa" w:w="1417"/>
            <w:vAlign w:val="center"/>
            <w:tcMar>
              <w:top w:w="80" w:type="dxa"/>
              <w:left w:w="80" w:type="dxa"/>
              <w:bottom w:w="80" w:type="dxa"/>
              <w:right w:w="80" w:type="dxa"/>
            </w:tcMar>
            <w:shd w:fill="F1F1F1"/>
          </w:tcPr>
          <w:p>
            <w:pPr>
              <w:keepNext/>
              <w:spacing w:line="276" w:lineRule="auto" w:before="0" w:after="0"/>
              <w:ind w:firstLine="0"/>
              <w:jc w:val="center"/>
            </w:pPr>
            <w:r>
              <w:rPr>
                <w:b/>
                <w:sz w:val="19"/>
              </w:rPr>
              <w:t>终点中位数</w:t>
            </w:r>
          </w:p>
        </w:tc>
        <w:tc>
          <w:tcPr>
            <w:tcW w:type="dxa" w:w="1644"/>
            <w:vAlign w:val="center"/>
            <w:tcMar>
              <w:top w:w="80" w:type="dxa"/>
              <w:left w:w="80" w:type="dxa"/>
              <w:bottom w:w="80" w:type="dxa"/>
              <w:right w:w="80" w:type="dxa"/>
            </w:tcMar>
            <w:shd w:fill="F1F1F1"/>
          </w:tcPr>
          <w:p>
            <w:pPr>
              <w:keepNext/>
              <w:spacing w:line="276" w:lineRule="auto" w:before="0" w:after="0"/>
              <w:ind w:firstLine="0"/>
              <w:jc w:val="center"/>
            </w:pPr>
            <w:r>
              <w:rPr>
                <w:b/>
                <w:sz w:val="19"/>
              </w:rPr>
              <w:t>后三轮累计目标均值</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有效生成数／尝试数</w:t>
            </w:r>
          </w:p>
        </w:tc>
        <w:tc>
          <w:tcPr>
            <w:tcW w:type="dxa" w:w="1871"/>
            <w:vAlign w:val="center"/>
            <w:tcMar>
              <w:top w:w="80" w:type="dxa"/>
              <w:left w:w="80" w:type="dxa"/>
              <w:bottom w:w="80" w:type="dxa"/>
              <w:right w:w="80" w:type="dxa"/>
            </w:tcMar>
            <w:shd w:fill="F1F1F1"/>
          </w:tcPr>
          <w:p>
            <w:pPr>
              <w:keepNext/>
              <w:spacing w:line="276" w:lineRule="auto" w:before="0" w:after="0"/>
              <w:ind w:firstLine="0"/>
              <w:jc w:val="center"/>
            </w:pPr>
            <w:r>
              <w:rPr>
                <w:b/>
                <w:sz w:val="19"/>
              </w:rPr>
              <w:t>行为重复数／可比较数</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A</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0.009256</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0.007546</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1.339907</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234／252</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82／234</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B</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0.007948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0.008049</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1.395747</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234／252</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106／234</w:t>
            </w:r>
          </w:p>
        </w:tc>
      </w:tr>
      <w:tr>
        <w:trPr>
          <w:cantSplit/>
        </w:trPr>
        <w:tc>
          <w:tcPr>
            <w:tcW w:type="dxa" w:w="567"/>
            <w:vAlign w:val="center"/>
            <w:tcMar>
              <w:top w:w="80" w:type="dxa"/>
              <w:left w:w="80" w:type="dxa"/>
              <w:bottom w:w="80" w:type="dxa"/>
              <w:right w:w="80" w:type="dxa"/>
            </w:tcMar>
          </w:tcPr>
          <w:p>
            <w:pPr>
              <w:spacing w:line="276" w:lineRule="auto" w:before="0" w:after="0"/>
              <w:ind w:firstLine="0"/>
              <w:jc w:val="center"/>
            </w:pPr>
            <w:r>
              <w:rPr>
                <w:b w:val="0"/>
                <w:sz w:val="19"/>
              </w:rPr>
              <w:t>C</w:t>
            </w:r>
          </w:p>
        </w:tc>
        <w:tc>
          <w:tcPr>
            <w:tcW w:type="dxa" w:w="1587"/>
            <w:vAlign w:val="center"/>
            <w:tcMar>
              <w:top w:w="80" w:type="dxa"/>
              <w:left w:w="80" w:type="dxa"/>
              <w:bottom w:w="80" w:type="dxa"/>
              <w:right w:w="80" w:type="dxa"/>
            </w:tcMar>
          </w:tcPr>
          <w:p>
            <w:pPr>
              <w:spacing w:line="276" w:lineRule="auto" w:before="0" w:after="0"/>
              <w:ind w:firstLine="0"/>
              <w:jc w:val="center"/>
            </w:pPr>
            <w:r>
              <w:rPr>
                <w:b w:val="0"/>
                <w:sz w:val="19"/>
              </w:rPr>
              <w:t>0.016568</w:t>
            </w:r>
          </w:p>
        </w:tc>
        <w:tc>
          <w:tcPr>
            <w:tcW w:type="dxa" w:w="1417"/>
            <w:vAlign w:val="center"/>
            <w:tcMar>
              <w:top w:w="80" w:type="dxa"/>
              <w:left w:w="80" w:type="dxa"/>
              <w:bottom w:w="80" w:type="dxa"/>
              <w:right w:w="80" w:type="dxa"/>
            </w:tcMar>
          </w:tcPr>
          <w:p>
            <w:pPr>
              <w:spacing w:line="276" w:lineRule="auto" w:before="0" w:after="0"/>
              <w:ind w:firstLine="0"/>
              <w:jc w:val="center"/>
            </w:pPr>
            <w:r>
              <w:rPr>
                <w:b w:val="0"/>
                <w:sz w:val="19"/>
              </w:rPr>
              <w:t>0.006339</w:t>
            </w:r>
          </w:p>
        </w:tc>
        <w:tc>
          <w:tcPr>
            <w:tcW w:type="dxa" w:w="1644"/>
            <w:vAlign w:val="center"/>
            <w:tcMar>
              <w:top w:w="80" w:type="dxa"/>
              <w:left w:w="80" w:type="dxa"/>
              <w:bottom w:w="80" w:type="dxa"/>
              <w:right w:w="80" w:type="dxa"/>
            </w:tcMar>
          </w:tcPr>
          <w:p>
            <w:pPr>
              <w:spacing w:line="276" w:lineRule="auto" w:before="0" w:after="0"/>
              <w:ind w:firstLine="0"/>
              <w:jc w:val="center"/>
            </w:pPr>
            <w:r>
              <w:rPr>
                <w:b w:val="0"/>
                <w:sz w:val="19"/>
              </w:rPr>
              <w:t>1.514438</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229／252</w:t>
            </w:r>
          </w:p>
        </w:tc>
        <w:tc>
          <w:tcPr>
            <w:tcW w:type="dxa" w:w="1871"/>
            <w:vAlign w:val="center"/>
            <w:tcMar>
              <w:top w:w="80" w:type="dxa"/>
              <w:left w:w="80" w:type="dxa"/>
              <w:bottom w:w="80" w:type="dxa"/>
              <w:right w:w="80" w:type="dxa"/>
            </w:tcMar>
          </w:tcPr>
          <w:p>
            <w:pPr>
              <w:spacing w:line="276" w:lineRule="auto" w:before="0" w:after="0"/>
              <w:ind w:firstLine="0"/>
              <w:jc w:val="center"/>
            </w:pPr>
            <w:r>
              <w:rPr>
                <w:b w:val="0"/>
                <w:sz w:val="19"/>
              </w:rPr>
              <w:t>98／229</w:t>
            </w:r>
          </w:p>
        </w:tc>
      </w:tr>
    </w:tbl>
    <w:p>
      <w:pPr>
        <w:spacing w:after="0"/>
      </w:pPr>
    </w:p>
    <w:p>
      <w:pPr>
        <w:jc w:val="both"/>
      </w:pPr>
      <w:r>
        <w:rPr>
          <w:b w:val="0"/>
        </w:rPr>
        <w:t>B的终点均值低于A，但后三轮累计目标均值反而较高，二者分别反映预算终点和改善速度。C的终点均值受T2较差结果影响而高于另外两组，其终点中位数却最低。三个观测值下，均值与中位数差异提示结果受单个配对影响较大，不能用一项组内平均值概括处理的稳定作用。A、B、C的有效生成比例依次为92.86%、92.86%和90.87%；行为重复比例依次为35.04%、45.30%和42.79%。这些比例描述候选的可评价性及搜索覆盖，不构成质量增益的独立证据。</w:t>
      </w:r>
    </w:p>
    <w:p>
      <w:pPr>
        <w:pStyle w:val="Caption"/>
        <w:keepNext/>
        <w:jc w:val="center"/>
      </w:pPr>
      <w:r>
        <w:rPr>
          <w:b/>
        </w:rPr>
        <w:t>表10 共同首轮实验的终点配对差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1814"/>
        <w:gridCol w:w="1814"/>
        <w:gridCol w:w="1814"/>
        <w:gridCol w:w="2891"/>
      </w:tblGrid>
      <w:tr>
        <w:trPr>
          <w:cantSplit/>
          <w:tblHeader/>
        </w:trPr>
        <w:tc>
          <w:tcPr>
            <w:tcW w:type="dxa" w:w="624"/>
            <w:vAlign w:val="center"/>
            <w:tcMar>
              <w:top w:w="80" w:type="dxa"/>
              <w:left w:w="80" w:type="dxa"/>
              <w:bottom w:w="80" w:type="dxa"/>
              <w:right w:w="80" w:type="dxa"/>
            </w:tcMar>
            <w:shd w:fill="F1F1F1"/>
          </w:tcPr>
          <w:p>
            <w:pPr>
              <w:keepNext/>
              <w:spacing w:line="276" w:lineRule="auto" w:before="0" w:after="0"/>
              <w:ind w:firstLine="0"/>
              <w:jc w:val="center"/>
            </w:pPr>
            <w:r>
              <w:rPr>
                <w:b/>
                <w:sz w:val="19"/>
              </w:rPr>
              <w:t>配对</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B减A</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C减B</w:t>
            </w:r>
          </w:p>
        </w:tc>
        <w:tc>
          <w:tcPr>
            <w:tcW w:type="dxa" w:w="1814"/>
            <w:vAlign w:val="center"/>
            <w:tcMar>
              <w:top w:w="80" w:type="dxa"/>
              <w:left w:w="80" w:type="dxa"/>
              <w:bottom w:w="80" w:type="dxa"/>
              <w:right w:w="80" w:type="dxa"/>
            </w:tcMar>
            <w:shd w:fill="F1F1F1"/>
          </w:tcPr>
          <w:p>
            <w:pPr>
              <w:keepNext/>
              <w:spacing w:line="276" w:lineRule="auto" w:before="0" w:after="0"/>
              <w:ind w:firstLine="0"/>
              <w:jc w:val="center"/>
            </w:pPr>
            <w:r>
              <w:rPr>
                <w:b/>
                <w:sz w:val="19"/>
              </w:rPr>
              <w:t>B优于A</w:t>
            </w:r>
          </w:p>
        </w:tc>
        <w:tc>
          <w:tcPr>
            <w:tcW w:type="dxa" w:w="2891"/>
            <w:vAlign w:val="center"/>
            <w:tcMar>
              <w:top w:w="80" w:type="dxa"/>
              <w:left w:w="80" w:type="dxa"/>
              <w:bottom w:w="80" w:type="dxa"/>
              <w:right w:w="80" w:type="dxa"/>
            </w:tcMar>
            <w:shd w:fill="F1F1F1"/>
          </w:tcPr>
          <w:p>
            <w:pPr>
              <w:keepNext/>
              <w:spacing w:line="276" w:lineRule="auto" w:before="0" w:after="0"/>
              <w:ind w:firstLine="0"/>
              <w:jc w:val="center"/>
            </w:pPr>
            <w:r>
              <w:rPr>
                <w:b/>
                <w:sz w:val="19"/>
              </w:rPr>
              <w:t>C优于B</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T1</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0.000503</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-0.001710</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否</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是</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T2</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0.001308</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0.029077</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否</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否</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T3</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-0.005735</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-0.001509</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是</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是</w:t>
            </w:r>
          </w:p>
        </w:tc>
      </w:tr>
      <w:tr>
        <w:trPr>
          <w:cantSplit/>
        </w:trPr>
        <w:tc>
          <w:tcPr>
            <w:tcW w:type="dxa" w:w="624"/>
            <w:vAlign w:val="center"/>
            <w:tcMar>
              <w:top w:w="80" w:type="dxa"/>
              <w:left w:w="80" w:type="dxa"/>
              <w:bottom w:w="80" w:type="dxa"/>
              <w:right w:w="80" w:type="dxa"/>
            </w:tcMar>
          </w:tcPr>
          <w:p>
            <w:pPr>
              <w:spacing w:line="276" w:lineRule="auto" w:before="0" w:after="0"/>
              <w:ind w:firstLine="0"/>
              <w:jc w:val="center"/>
            </w:pPr>
            <w:r>
              <w:rPr>
                <w:b w:val="0"/>
                <w:sz w:val="19"/>
              </w:rPr>
              <w:t>三对均值</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-0.001308</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0.008619</w:t>
            </w:r>
          </w:p>
        </w:tc>
        <w:tc>
          <w:tcPr>
            <w:tcW w:type="dxa" w:w="1814"/>
            <w:vAlign w:val="center"/>
            <w:tcMar>
              <w:top w:w="80" w:type="dxa"/>
              <w:left w:w="80" w:type="dxa"/>
              <w:bottom w:w="80" w:type="dxa"/>
              <w:right w:w="80" w:type="dxa"/>
            </w:tcMar>
          </w:tcPr>
          <w:p>
            <w:pPr>
              <w:spacing w:line="276" w:lineRule="auto" w:before="0" w:after="0"/>
              <w:ind w:firstLine="0"/>
              <w:jc w:val="center"/>
            </w:pPr>
            <w:r>
              <w:rPr>
                <w:b w:val="0"/>
                <w:sz w:val="19"/>
              </w:rPr>
              <w:t>1／3</w:t>
            </w:r>
          </w:p>
        </w:tc>
        <w:tc>
          <w:tcPr>
            <w:tcW w:type="dxa" w:w="2891"/>
            <w:vAlign w:val="center"/>
            <w:tcMar>
              <w:top w:w="80" w:type="dxa"/>
              <w:left w:w="80" w:type="dxa"/>
              <w:bottom w:w="80" w:type="dxa"/>
              <w:right w:w="80" w:type="dxa"/>
            </w:tcMar>
          </w:tcPr>
          <w:p>
            <w:pPr>
              <w:spacing w:line="276" w:lineRule="auto" w:before="0" w:after="0"/>
              <w:ind w:firstLine="0"/>
              <w:jc w:val="center"/>
            </w:pPr>
            <w:r>
              <w:rPr>
                <w:b w:val="0"/>
                <w:sz w:val="19"/>
              </w:rPr>
              <w:t>2／3</w:t>
            </w:r>
          </w:p>
        </w:tc>
      </w:tr>
    </w:tbl>
    <w:p>
      <w:pPr>
        <w:spacing w:after="0"/>
      </w:pPr>
    </w:p>
    <w:p>
      <w:pPr>
        <w:jc w:val="both"/>
      </w:pPr>
      <w:r>
        <w:rPr>
          <w:b w:val="0"/>
        </w:rPr>
        <w:t>表10中负差表示后列处理取得更低的终点超额率。实验前将“至少两对终点方向一致且平均改善达到0.0005”设为是否值得扩样的描述性门槛。B相对于A仅有一对改善；C相对于B虽有两对改善，平均差却为正，故两项比较均未达到这个门槛。更重要的是，T3的B组分析主体使用的模型条件无法与其他组逐项核对，三对汇总不满足事先规定的严格处理比较条件。仅看前两对处于相同分析环境的描述性结果，B在两对终点均不优于A，C相对B一优一劣；样本更小，仍不能据此进行正式效果推断。</w:t>
      </w:r>
    </w:p>
    <w:p>
      <w:pPr>
        <w:pStyle w:val="Heading2"/>
      </w:pPr>
      <w:r>
        <w:t>9.3 研究内容与经验使用的解释</w:t>
      </w:r>
    </w:p>
    <w:p>
      <w:pPr>
        <w:jc w:val="both"/>
      </w:pPr>
      <w:r>
        <w:rPr>
          <w:b w:val="0"/>
        </w:rPr>
        <w:t>第二批的认识链可以沿各轮评价事实、对比材料、研究笔记、下一轮计划和实际候选顺序追溯。B、C在后续轮次形成的计划均可追溯到前一轮笔记；C所读取的经验来自本分支较早轮次，空白起点和后续阅读均得到核对。由此可以确认研究流程确实发生，而不是仅以组别标签代替处理。然而，记录证明经验被提供和阅读，并不证明经验带来了新的有效知识，更不证明它改善了目标。</w:t>
      </w:r>
    </w:p>
    <w:p>
      <w:pPr>
        <w:jc w:val="both"/>
      </w:pPr>
      <w:r>
        <w:rPr>
          <w:b w:val="0"/>
        </w:rPr>
        <w:t>T2尤能说明这一点。C组的经验进入后续决策，但计划持续围绕较弱的当前规则调整局部评分，直到预算终点仍为0.037227；同一首轮出发的A组转向其他剩余空间评分形式，第三轮降至0.007043，终点为0.006842。B组在第四轮也降至0.008150。C的持续低效与“早期经验可能使搜索局限于当前规则附近”的解释相容，但本实验未单独改变经验内容或检索方式，不能判定经验是造成该结果的原因。</w:t>
      </w:r>
    </w:p>
    <w:p>
      <w:pPr>
        <w:jc w:val="both"/>
      </w:pPr>
      <w:r>
        <w:rPr>
          <w:b w:val="0"/>
        </w:rPr>
        <w:t>T3呈现相反的描述：C第二轮已降至0.009961，终点达到0.006137；B在第三轮才明显改善，终点为0.007647。不过，B获得改善的候选采用了较广泛的评分形式变化，超出了狭义局部调整，不能把全部下降归于笔记中某个单一机制。结合T1和T2，第二批支持的是“相同起点下不同研究过程可能对应不同搜索路径”，尚不足以确定哪一种过程通常更优。</w:t>
      </w:r>
    </w:p>
    <w:p>
      <w:pPr>
        <w:pStyle w:val="Heading2"/>
      </w:pPr>
      <w:r>
        <w:t>9.4 成本与推断范围</w:t>
      </w:r>
    </w:p>
    <w:p>
      <w:pPr>
        <w:jc w:val="both"/>
      </w:pPr>
      <w:r>
        <w:rPr>
          <w:b w:val="0"/>
        </w:rPr>
        <w:t>后三轮的评测预算在各分支完全相同，但文字分析与经验处理的总词元不可完整取得。本批已知的候选生成模型词元在A、B、C组每分支平均约为332583、327348和362035；C的该项投入较高，而研究主体本身的词元缺失，因此不能比较完整模型成本或总词元效率。不同分支的运行时段还受到并行安排与中断影响，不宜据墙钟时间作处理优劣排序。</w:t>
      </w:r>
    </w:p>
    <w:p>
      <w:pPr>
        <w:jc w:val="both"/>
      </w:pPr>
      <w:r>
        <w:rPr>
          <w:b w:val="0"/>
        </w:rPr>
        <w:t>第二批修复了首批“相同随机编号却不共享实际首轮”的主要问题，但只有三个配对。T3中一组分析主体的模型条件不等价风险又影响了完整配对汇总；即使去除这一对，剩余两对也不足以估计稳定效应。五条物品流均属于已经用于候选选择的训练资料，不能检验未见实例上的泛化。因而，表8至表10应解释为训练条件下的诊断结果，不作显著性结论或独立测试表现的推断。</w:t>
      </w:r>
    </w:p>
    <w:p>
      <w:pPr>
        <w:pStyle w:val="Heading1"/>
      </w:pPr>
      <w:r>
        <w:t>10 综合结论</w:t>
      </w:r>
    </w:p>
    <w:p>
      <w:pPr>
        <w:jc w:val="both"/>
      </w:pPr>
      <w:r>
        <w:rPr>
          <w:b w:val="0"/>
        </w:rPr>
        <w:t>两批三组研究呈现同一问题的两个层次。首批结果说明，终点领先可能主要来自处理开始前的首轮差异；第二批通过共同实际首轮消除了这一混淆，但没有出现跨配对稳定的终点与过程优势。具体候选分析证明，反思可以形成可检验的问题，经验能够进入下一轮决策；这两项机制层面的事实与“当前未观察到稳定质量收益”并不矛盾。</w:t>
      </w:r>
    </w:p>
    <w:p>
      <w:pPr>
        <w:jc w:val="both"/>
      </w:pPr>
      <w:r>
        <w:rPr>
          <w:b w:val="0"/>
        </w:rPr>
        <w:t>下一步应首先固定可核对的分析主体模型条件与完整成本记录，再研究笔记究竟何时提出了区别于当前事实的可执行问题，以及经验复用何时促进探索、何时可能使搜索围绕早期规则收缩。可将经验内容与信息量相近的近期事实作对照，并预先规定局部机制候选和广泛改写候选的解释边界。只有在这些条件下获得足够的重复与明确质量信号，才适宜确定正式样本量；独立测试仍应在选择规则冻结后单独进行。</w:t>
      </w:r>
    </w:p>
    <w:p>
      <w:pPr>
        <w:pStyle w:val="Heading1"/>
      </w:pPr>
      <w:r>
        <w:t>资料说明</w:t>
      </w:r>
    </w:p>
    <w:p>
      <w:pPr>
        <w:spacing w:line="276" w:lineRule="auto"/>
        <w:jc w:val="both"/>
      </w:pPr>
      <w:r>
        <w:rPr>
          <w:b w:val="0"/>
          <w:sz w:val="21"/>
        </w:rPr>
        <w:t>首批和第二批分别完成900次与750次实际评测，均只使用已暴露的训练资料；两批分别统计。正文数值按六位小数展示，原始记录保留完整精度。</w:t>
      </w:r>
    </w:p>
    <w:sectPr w:rsidR="00FC693F" w:rsidRPr="0006063C" w:rsidSect="00034616">
      <w:headerReference w:type="default" r:id="rId9"/>
      <w:footerReference w:type="default" r:id="rId10"/>
      <w:pgSz w:w="11906" w:h="16838"/>
      <w:pgMar w:top="1361" w:right="1474"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8"/>
      </w:rPr>
      <w:t>显式反思与在线经验积累对启发式搜索的影响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80"/>
      <w:ind w:firstLine="480"/>
    </w:pPr>
    <w:rPr>
      <w:rFonts w:ascii="Times New Roman" w:hAnsi="Times New Roman" w:eastAsia="宋体"/>
      <w:b w:val="0"/>
      <w:i w:val="0"/>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ind w:firstLine="0"/>
      <w:outlineLvl w:val="0"/>
    </w:pPr>
    <w:rPr>
      <w:rFonts w:ascii="Times New Roman" w:hAnsi="Times New Roman" w:eastAsia="黑体"/>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rFonts w:ascii="Times New Roman" w:hAnsi="Times New Roman" w:eastAsia="黑体"/>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before="0"/>
      <w:ind w:firstLine="0"/>
      <w:contextualSpacing/>
    </w:pPr>
    <w:rPr>
      <w:rFonts w:ascii="Times New Roman" w:hAnsi="Times New Roman" w:eastAsia="黑体"/>
      <w:b/>
      <w:i w:val="0"/>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76" w:lineRule="auto"/>
      <w:ind w:firstLine="0"/>
    </w:pPr>
    <w:rPr>
      <w:rFonts w:ascii="Times New Roman" w:hAnsi="Times New Roman" w:eastAsia="黑体"/>
      <w:b w:val="0"/>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ind w:firstLine="0"/>
    </w:pPr>
    <w:rPr>
      <w:rFonts w:ascii="Times New Roman" w:hAnsi="Times New Roman" w:eastAsia="宋体"/>
      <w:b w:val="0"/>
      <w:bCs/>
      <w:i w:val="0"/>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显式反思与在线经验积累对启发式搜索的影响</dc:title>
  <dc:subject>在线装箱问题的三组对照先导研究</dc:subject>
  <dc:creator/>
  <cp:keywords>组合优化；多岛搜索；自动启发式设计；阶段性基准</cp:keywords>
  <dc:description>generated by python-docx</dc:description>
  <cp:lastModifiedBy/>
  <cp:revision>1</cp:revision>
  <dcterms:created xsi:type="dcterms:W3CDTF">2013-12-23T23:15:00Z</dcterms:created>
  <dcterms:modified xsi:type="dcterms:W3CDTF">2013-12-23T23:15:00Z</dcterms:modified>
  <cp:category/>
</cp:coreProperties>
</file>