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rantvega-g-1-0080-10"/>
    <w:p>
      <w:pPr>
        <w:pStyle w:val="Heading2"/>
      </w:pPr>
      <w:r>
        <w:t xml:space="preserve">Grant:VEGA-G-1-0080-10</w:t>
      </w:r>
    </w:p>
    <w:p>
      <w:pPr>
        <w:numPr>
          <w:ilvl w:val="0"/>
          <w:numId w:val="1001"/>
        </w:numPr>
      </w:pPr>
      <w:r>
        <w:t xml:space="preserve">G. Jenča: Compatibility support mappings in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363-378,</w:t>
      </w:r>
    </w:p>
    <w:p>
      <w:pPr>
        <w:numPr>
          <w:ilvl w:val="0"/>
          <w:numId w:val="1001"/>
        </w:numPr>
      </w:pPr>
      <w:r>
        <w:t xml:space="preserve">G. Jenča: Extensions of Witness Mappings,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(2012),</w:t>
      </w:r>
      <w:r>
        <w:t xml:space="preserve"> </w:t>
      </w:r>
      <w:r>
        <w:t xml:space="preserve">533-544,</w:t>
      </w:r>
    </w:p>
    <w:p>
      <w:pPr>
        <w:numPr>
          <w:ilvl w:val="0"/>
          <w:numId w:val="1001"/>
        </w:numPr>
      </w:pPr>
      <w:r>
        <w:t xml:space="preserve">G. Jenča: Coexistence in interval effect algebras,</w:t>
      </w:r>
      <w:r>
        <w:t xml:space="preserve"> </w:t>
      </w:r>
      <w:r>
        <w:rPr>
          <w:iCs/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139</w:t>
      </w:r>
      <w:r>
        <w:t xml:space="preserve"> </w:t>
      </w:r>
      <w:r>
        <w:t xml:space="preserve">(2011),</w:t>
      </w:r>
      <w:r>
        <w:t xml:space="preserve"> </w:t>
      </w:r>
      <w:r>
        <w:t xml:space="preserve">331-344,</w:t>
      </w:r>
    </w:p>
    <w:bookmarkEnd w:id="20"/>
    <w:bookmarkStart w:id="21" w:name="grantvega-g-2-7193-20"/>
    <w:p>
      <w:pPr>
        <w:pStyle w:val="Heading2"/>
      </w:pPr>
      <w:r>
        <w:t xml:space="preserve">Grant:VEGA-G-2-7193-20</w:t>
      </w:r>
    </w:p>
    <w:p>
      <w:pPr>
        <w:numPr>
          <w:ilvl w:val="0"/>
          <w:numId w:val="1002"/>
        </w:numPr>
        <w:pStyle w:val="Compact"/>
      </w:pPr>
      <w:r>
        <w:t xml:space="preserve">G. Jenča, S. Pulmannová: Orthocomplete effect algebras,</w:t>
      </w:r>
      <w:r>
        <w:t xml:space="preserve"> </w:t>
      </w:r>
      <w:r>
        <w:rPr>
          <w:iCs/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131</w:t>
      </w:r>
      <w:r>
        <w:t xml:space="preserve"> </w:t>
      </w:r>
      <w:r>
        <w:t xml:space="preserve">(2003),</w:t>
      </w:r>
      <w:r>
        <w:t xml:space="preserve"> </w:t>
      </w:r>
      <w:r>
        <w:t xml:space="preserve">2663-2671,</w:t>
      </w:r>
    </w:p>
    <w:bookmarkEnd w:id="21"/>
    <w:bookmarkStart w:id="22" w:name="grantapvv-0073-10"/>
    <w:p>
      <w:pPr>
        <w:pStyle w:val="Heading2"/>
      </w:pPr>
      <w:r>
        <w:t xml:space="preserve">Grant:APVV-0073-10</w:t>
      </w:r>
    </w:p>
    <w:p>
      <w:pPr>
        <w:numPr>
          <w:ilvl w:val="0"/>
          <w:numId w:val="1003"/>
        </w:numPr>
      </w:pPr>
      <w:r>
        <w:t xml:space="preserve">G. Jenča: Effect Algebras are the Eilenberg-Moore Category for the Kalmbach Monad,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p>
      <w:pPr>
        <w:numPr>
          <w:ilvl w:val="0"/>
          <w:numId w:val="1003"/>
        </w:numPr>
      </w:pPr>
      <w:r>
        <w:t xml:space="preserve">G. Jenča, P. Sarkoci: Linear extensions and order-preserving poset partitions,</w:t>
      </w:r>
      <w:r>
        <w:t xml:space="preserve"> </w:t>
      </w:r>
      <w:r>
        <w:rPr>
          <w:iCs/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Cs/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p>
      <w:pPr>
        <w:numPr>
          <w:ilvl w:val="0"/>
          <w:numId w:val="1003"/>
        </w:numPr>
      </w:pPr>
      <w:r>
        <w:t xml:space="preserve">G. Jenča: Congruences generated by ideals of the compatibility center of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(2013),</w:t>
      </w:r>
      <w:r>
        <w:t xml:space="preserve"> </w:t>
      </w:r>
      <w:r>
        <w:t xml:space="preserve">45-47,</w:t>
      </w:r>
    </w:p>
    <w:p>
      <w:pPr>
        <w:numPr>
          <w:ilvl w:val="0"/>
          <w:numId w:val="1003"/>
        </w:numPr>
      </w:pPr>
      <w:r>
        <w:t xml:space="preserve">G. Jenča: Compatibility support mappings in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363-378,</w:t>
      </w:r>
    </w:p>
    <w:p>
      <w:pPr>
        <w:numPr>
          <w:ilvl w:val="0"/>
          <w:numId w:val="1003"/>
        </w:numPr>
      </w:pPr>
      <w:r>
        <w:t xml:space="preserve">G. Jenča: Extensions of Witness Mappings,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(2012),</w:t>
      </w:r>
      <w:r>
        <w:t xml:space="preserve"> </w:t>
      </w:r>
      <w:r>
        <w:t xml:space="preserve">533-544,</w:t>
      </w:r>
    </w:p>
    <w:p>
      <w:pPr>
        <w:numPr>
          <w:ilvl w:val="0"/>
          <w:numId w:val="1003"/>
        </w:numPr>
      </w:pPr>
      <w:r>
        <w:t xml:space="preserve">G. Jenča: A note on unitizations of generalized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115-118,</w:t>
      </w:r>
    </w:p>
    <w:bookmarkEnd w:id="22"/>
    <w:bookmarkStart w:id="23" w:name="grantapvv-16-0073"/>
    <w:p>
      <w:pPr>
        <w:pStyle w:val="Heading2"/>
      </w:pPr>
      <w:r>
        <w:t xml:space="preserve">Grant:APVV-16-0073</w:t>
      </w:r>
    </w:p>
    <w:p>
      <w:pPr>
        <w:numPr>
          <w:ilvl w:val="0"/>
          <w:numId w:val="1004"/>
        </w:numPr>
      </w:pPr>
      <w:r>
        <w:t xml:space="preserve">G. Jenča: Two monads on the category of graphs,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(2019),</w:t>
      </w:r>
      <w:r>
        <w:t xml:space="preserve"> </w:t>
      </w:r>
      <w:r>
        <w:t xml:space="preserve">257-266,</w:t>
      </w:r>
    </w:p>
    <w:p>
      <w:pPr>
        <w:numPr>
          <w:ilvl w:val="0"/>
          <w:numId w:val="1004"/>
        </w:numPr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p>
      <w:pPr>
        <w:numPr>
          <w:ilvl w:val="0"/>
          <w:numId w:val="1004"/>
        </w:numPr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23"/>
    <w:bookmarkStart w:id="24" w:name="grantapvv-0178-11"/>
    <w:p>
      <w:pPr>
        <w:pStyle w:val="Heading2"/>
      </w:pPr>
      <w:r>
        <w:t xml:space="preserve">Grant:APVV-0178-11</w:t>
      </w:r>
    </w:p>
    <w:p>
      <w:pPr>
        <w:numPr>
          <w:ilvl w:val="0"/>
          <w:numId w:val="1005"/>
        </w:numPr>
      </w:pPr>
      <w:r>
        <w:t xml:space="preserve">G. Jenča: Effect Algebras are the Eilenberg-Moore Category for the Kalmbach Monad,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p>
      <w:pPr>
        <w:numPr>
          <w:ilvl w:val="0"/>
          <w:numId w:val="1005"/>
        </w:numPr>
      </w:pPr>
      <w:r>
        <w:t xml:space="preserve">G. Jenča, P. Sarkoci: Linear extensions and order-preserving poset partitions,</w:t>
      </w:r>
      <w:r>
        <w:t xml:space="preserve"> </w:t>
      </w:r>
      <w:r>
        <w:rPr>
          <w:iCs/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Cs/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p>
      <w:pPr>
        <w:numPr>
          <w:ilvl w:val="0"/>
          <w:numId w:val="1005"/>
        </w:numPr>
      </w:pPr>
      <w:r>
        <w:t xml:space="preserve">G. Jenča: Congruences generated by ideals of the compatibility center of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(2013),</w:t>
      </w:r>
      <w:r>
        <w:t xml:space="preserve"> </w:t>
      </w:r>
      <w:r>
        <w:t xml:space="preserve">45-47,</w:t>
      </w:r>
    </w:p>
    <w:p>
      <w:pPr>
        <w:numPr>
          <w:ilvl w:val="0"/>
          <w:numId w:val="1005"/>
        </w:numPr>
      </w:pPr>
      <w:r>
        <w:t xml:space="preserve">G. Jenča: Compatibility support mappings in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363-378,</w:t>
      </w:r>
    </w:p>
    <w:p>
      <w:pPr>
        <w:numPr>
          <w:ilvl w:val="0"/>
          <w:numId w:val="1005"/>
        </w:numPr>
      </w:pPr>
      <w:r>
        <w:t xml:space="preserve">G. Jenča: A note on unitizations of generalized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115-118,</w:t>
      </w:r>
    </w:p>
    <w:bookmarkEnd w:id="24"/>
    <w:bookmarkStart w:id="25" w:name="grantvega-g-1-0266-03"/>
    <w:p>
      <w:pPr>
        <w:pStyle w:val="Heading2"/>
      </w:pPr>
      <w:r>
        <w:t xml:space="preserve">Grant:VEGA-G-1-0266-03</w:t>
      </w:r>
    </w:p>
    <w:p>
      <w:pPr>
        <w:numPr>
          <w:ilvl w:val="0"/>
          <w:numId w:val="1006"/>
        </w:numPr>
        <w:pStyle w:val="Compact"/>
      </w:pPr>
      <w:r>
        <w:t xml:space="preserve">G. Jenča: The block structure of complete lattice ordered effect algebras,</w:t>
      </w:r>
      <w:r>
        <w:t xml:space="preserve"> </w:t>
      </w:r>
      <w:r>
        <w:rPr>
          <w:iCs/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bookmarkEnd w:id="25"/>
    <w:bookmarkStart w:id="26" w:name="grantvega-g-2-4033-97"/>
    <w:p>
      <w:pPr>
        <w:pStyle w:val="Heading2"/>
      </w:pPr>
      <w:r>
        <w:t xml:space="preserve">Grant:VEGA-G-2-4033-97</w:t>
      </w:r>
    </w:p>
    <w:p>
      <w:pPr>
        <w:numPr>
          <w:ilvl w:val="0"/>
          <w:numId w:val="1007"/>
        </w:numPr>
        <w:pStyle w:val="Compact"/>
      </w:pPr>
      <w:r>
        <w:t xml:space="preserve">G. Jenča, S. Pulmannová: Quotients of partial abelian monoids and the Riesz decomposition property,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(2002),</w:t>
      </w:r>
      <w:r>
        <w:t xml:space="preserve"> </w:t>
      </w:r>
      <w:r>
        <w:t xml:space="preserve">443-477,</w:t>
      </w:r>
    </w:p>
    <w:bookmarkEnd w:id="26"/>
    <w:bookmarkStart w:id="27" w:name="grantvega-g-1-4297-97"/>
    <w:p>
      <w:pPr>
        <w:pStyle w:val="Heading2"/>
      </w:pPr>
      <w:r>
        <w:t xml:space="preserve">Grant:VEGA-G-1-4297-97</w:t>
      </w:r>
    </w:p>
    <w:p>
      <w:pPr>
        <w:numPr>
          <w:ilvl w:val="0"/>
          <w:numId w:val="1008"/>
        </w:numPr>
      </w:pPr>
      <w:r>
        <w:t xml:space="preserve">G. Jenča, S. Pulmannová: Quotients of partial abelian monoids and the Riesz decomposition property,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(2002),</w:t>
      </w:r>
      <w:r>
        <w:t xml:space="preserve"> </w:t>
      </w:r>
      <w:r>
        <w:t xml:space="preserve">443-477,</w:t>
      </w:r>
    </w:p>
    <w:p>
      <w:pPr>
        <w:numPr>
          <w:ilvl w:val="0"/>
          <w:numId w:val="1008"/>
        </w:numPr>
      </w:pPr>
      <w:r>
        <w:t xml:space="preserve">G. Jenča, Z. Riečanová: On sharp elements in lattice ordered effect algebras,</w:t>
      </w:r>
      <w:r>
        <w:t xml:space="preserve"> </w:t>
      </w:r>
      <w:r>
        <w:rPr>
          <w:iCs/>
          <w:i/>
        </w:rPr>
        <w:t xml:space="preserve">BUSEFAL</w:t>
      </w:r>
      <w:r>
        <w:t xml:space="preserve">,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(1999),</w:t>
      </w:r>
      <w:r>
        <w:t xml:space="preserve"> </w:t>
      </w:r>
      <w:r>
        <w:t xml:space="preserve">24-29,</w:t>
      </w:r>
    </w:p>
    <w:p>
      <w:pPr>
        <w:numPr>
          <w:ilvl w:val="0"/>
          <w:numId w:val="1008"/>
        </w:numPr>
      </w:pPr>
      <w:r>
        <w:t xml:space="preserve">G. Jenča: A note on ideals in generalized effect algebras,</w:t>
      </w:r>
      <w:r>
        <w:t xml:space="preserve"> </w:t>
      </w:r>
      <w:r>
        <w:rPr>
          <w:iCs/>
          <w:i/>
        </w:rPr>
        <w:t xml:space="preserve">Tatra Mountains Mathematical Publications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(1999),</w:t>
      </w:r>
      <w:r>
        <w:t xml:space="preserve"> </w:t>
      </w:r>
      <w:r>
        <w:t xml:space="preserve">81-85,</w:t>
      </w:r>
    </w:p>
    <w:p>
      <w:pPr>
        <w:numPr>
          <w:ilvl w:val="0"/>
          <w:numId w:val="1008"/>
        </w:numPr>
      </w:pPr>
      <w:r>
        <w:t xml:space="preserve">G. Jenča: Sheaf representations of partial abelian monoids,</w:t>
      </w:r>
      <w:r>
        <w:t xml:space="preserve"> </w:t>
      </w:r>
      <w:r>
        <w:rPr>
          <w:iCs/>
          <w:i/>
        </w:rPr>
        <w:t xml:space="preserve">Journal of Electrical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50</w:t>
      </w:r>
      <w:r>
        <w:t xml:space="preserve"> </w:t>
      </w:r>
      <w:r>
        <w:t xml:space="preserve">(1999),</w:t>
      </w:r>
      <w:r>
        <w:t xml:space="preserve"> </w:t>
      </w:r>
      <w:r>
        <w:t xml:space="preserve">66-70,</w:t>
      </w:r>
    </w:p>
    <w:p>
      <w:pPr>
        <w:numPr>
          <w:ilvl w:val="0"/>
          <w:numId w:val="1008"/>
        </w:numPr>
      </w:pPr>
      <w:r>
        <w:t xml:space="preserve">G. Jenča: Subcentral ideals in generalized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39</w:t>
      </w:r>
      <w:r>
        <w:t xml:space="preserve"> </w:t>
      </w:r>
      <w:r>
        <w:t xml:space="preserve">(2000),</w:t>
      </w:r>
      <w:r>
        <w:t xml:space="preserve"> </w:t>
      </w:r>
      <w:r>
        <w:t xml:space="preserve">745-755,</w:t>
      </w:r>
    </w:p>
    <w:p>
      <w:pPr>
        <w:numPr>
          <w:ilvl w:val="0"/>
          <w:numId w:val="1008"/>
        </w:numPr>
      </w:pPr>
      <w:r>
        <w:t xml:space="preserve">G. Jenča: Notes on R1-ideals in partial abelian monoids,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(2000),</w:t>
      </w:r>
      <w:r>
        <w:t xml:space="preserve"> </w:t>
      </w:r>
      <w:r>
        <w:t xml:space="preserve">307-319,</w:t>
      </w:r>
    </w:p>
    <w:bookmarkEnd w:id="27"/>
    <w:bookmarkStart w:id="28" w:name="grantvega-g-1-3025-06"/>
    <w:p>
      <w:pPr>
        <w:pStyle w:val="Heading2"/>
      </w:pPr>
      <w:r>
        <w:t xml:space="preserve">Grant:VEGA-G-1-3025-06</w:t>
      </w:r>
    </w:p>
    <w:p>
      <w:pPr>
        <w:numPr>
          <w:ilvl w:val="0"/>
          <w:numId w:val="1009"/>
        </w:numPr>
      </w:pPr>
      <w:r>
        <w:t xml:space="preserve">G. Jenča: 0-homogeneous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p>
      <w:pPr>
        <w:numPr>
          <w:ilvl w:val="0"/>
          <w:numId w:val="1009"/>
        </w:numPr>
      </w:pPr>
      <w:r>
        <w:t xml:space="preserve">G. Jenča: Sharp and Meager Elements in Orthocomplete Homogeneous Effect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27</w:t>
      </w:r>
      <w:r>
        <w:t xml:space="preserve"> </w:t>
      </w:r>
      <w:r>
        <w:t xml:space="preserve">(2010),</w:t>
      </w:r>
      <w:r>
        <w:t xml:space="preserve"> </w:t>
      </w:r>
      <w:r>
        <w:t xml:space="preserve">41-61,</w:t>
      </w:r>
    </w:p>
    <w:p>
      <w:pPr>
        <w:numPr>
          <w:ilvl w:val="0"/>
          <w:numId w:val="1009"/>
        </w:numPr>
      </w:pPr>
      <w:r>
        <w:t xml:space="preserve">G. Jenča: A representation theorem for MV-algebras,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557-564,</w:t>
      </w:r>
    </w:p>
    <w:p>
      <w:pPr>
        <w:numPr>
          <w:ilvl w:val="0"/>
          <w:numId w:val="1009"/>
        </w:numPr>
      </w:pPr>
      <w:r>
        <w:t xml:space="preserve">A. Di Nola, M. Holčapek, G. Jenča: The category of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(2009),</w:t>
      </w:r>
      <w:r>
        <w:t xml:space="preserve"> </w:t>
      </w:r>
      <w:r>
        <w:t xml:space="preserve">395-412,</w:t>
      </w:r>
    </w:p>
    <w:bookmarkEnd w:id="28"/>
    <w:bookmarkStart w:id="29" w:name="grantapvv-14-0013"/>
    <w:p>
      <w:pPr>
        <w:pStyle w:val="Heading2"/>
      </w:pPr>
      <w:r>
        <w:t xml:space="preserve">Grant:APVV-14-0013</w:t>
      </w:r>
    </w:p>
    <w:p>
      <w:pPr>
        <w:numPr>
          <w:ilvl w:val="0"/>
          <w:numId w:val="1010"/>
        </w:numPr>
      </w:pPr>
      <w:r>
        <w:t xml:space="preserve">G. Jenča: Two monads on the category of graphs,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(2019),</w:t>
      </w:r>
      <w:r>
        <w:t xml:space="preserve"> </w:t>
      </w:r>
      <w:r>
        <w:t xml:space="preserve">257-266,</w:t>
      </w:r>
    </w:p>
    <w:p>
      <w:pPr>
        <w:numPr>
          <w:ilvl w:val="0"/>
          <w:numId w:val="1010"/>
        </w:numPr>
      </w:pPr>
      <w:r>
        <w:t xml:space="preserve">A. Jenčová, G. Jenča: On Monoids in the Category of Sets and Relations,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p>
      <w:pPr>
        <w:numPr>
          <w:ilvl w:val="0"/>
          <w:numId w:val="1010"/>
        </w:numPr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29"/>
    <w:bookmarkStart w:id="30" w:name="grantvega-g-2-0059-12"/>
    <w:p>
      <w:pPr>
        <w:pStyle w:val="Heading2"/>
      </w:pPr>
      <w:r>
        <w:t xml:space="preserve">Grant:VEGA-G-2-0059-12</w:t>
      </w:r>
    </w:p>
    <w:p>
      <w:pPr>
        <w:numPr>
          <w:ilvl w:val="0"/>
          <w:numId w:val="1011"/>
        </w:numPr>
      </w:pPr>
      <w:r>
        <w:t xml:space="preserve">G. Jenča: Effect Algebras are the Eilenberg-Moore Category for the Kalmbach Monad,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p>
      <w:pPr>
        <w:numPr>
          <w:ilvl w:val="0"/>
          <w:numId w:val="1011"/>
        </w:numPr>
      </w:pPr>
      <w:r>
        <w:t xml:space="preserve">G. Jenča, P. Sarkoci: Linear extensions and order-preserving poset partitions,</w:t>
      </w:r>
      <w:r>
        <w:t xml:space="preserve"> </w:t>
      </w:r>
      <w:r>
        <w:rPr>
          <w:iCs/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Cs/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p>
      <w:pPr>
        <w:numPr>
          <w:ilvl w:val="0"/>
          <w:numId w:val="1011"/>
        </w:numPr>
      </w:pPr>
      <w:r>
        <w:t xml:space="preserve">G. Jenča: Congruences generated by ideals of the compatibility center of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(2013),</w:t>
      </w:r>
      <w:r>
        <w:t xml:space="preserve"> </w:t>
      </w:r>
      <w:r>
        <w:t xml:space="preserve">45-47,</w:t>
      </w:r>
    </w:p>
    <w:p>
      <w:pPr>
        <w:numPr>
          <w:ilvl w:val="0"/>
          <w:numId w:val="1011"/>
        </w:numPr>
      </w:pPr>
      <w:r>
        <w:t xml:space="preserve">G. Jenča: Compatibility support mappings in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363-378,</w:t>
      </w:r>
    </w:p>
    <w:p>
      <w:pPr>
        <w:numPr>
          <w:ilvl w:val="0"/>
          <w:numId w:val="1011"/>
        </w:numPr>
      </w:pPr>
      <w:r>
        <w:t xml:space="preserve">G. Jenča: A note on unitizations of generalized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115-118,</w:t>
      </w:r>
    </w:p>
    <w:bookmarkEnd w:id="30"/>
    <w:bookmarkStart w:id="31" w:name="grantvega-2-0069-16"/>
    <w:p>
      <w:pPr>
        <w:pStyle w:val="Heading2"/>
      </w:pPr>
      <w:r>
        <w:t xml:space="preserve">Grant:VEGA-2-0069-16</w:t>
      </w:r>
    </w:p>
    <w:p>
      <w:pPr>
        <w:numPr>
          <w:ilvl w:val="0"/>
          <w:numId w:val="1012"/>
        </w:numPr>
      </w:pPr>
      <w:r>
        <w:t xml:space="preserve">G. Jenča: Two monads on the category of graphs,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(2019),</w:t>
      </w:r>
      <w:r>
        <w:t xml:space="preserve"> </w:t>
      </w:r>
      <w:r>
        <w:t xml:space="preserve">257-266,</w:t>
      </w:r>
    </w:p>
    <w:p>
      <w:pPr>
        <w:numPr>
          <w:ilvl w:val="0"/>
          <w:numId w:val="1012"/>
        </w:numPr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p>
      <w:pPr>
        <w:numPr>
          <w:ilvl w:val="0"/>
          <w:numId w:val="1012"/>
        </w:numPr>
      </w:pPr>
      <w:r>
        <w:t xml:space="preserve">A. Jenčová, G. Jenča: On Monoids in the Category of Sets and Relations,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p>
      <w:pPr>
        <w:numPr>
          <w:ilvl w:val="0"/>
          <w:numId w:val="1012"/>
        </w:numPr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31"/>
    <w:bookmarkStart w:id="32" w:name="grantapvt-51-032002"/>
    <w:p>
      <w:pPr>
        <w:pStyle w:val="Heading2"/>
      </w:pPr>
      <w:r>
        <w:t xml:space="preserve">Grant:APVT-51-032002</w:t>
      </w:r>
    </w:p>
    <w:p>
      <w:pPr>
        <w:numPr>
          <w:ilvl w:val="0"/>
          <w:numId w:val="1013"/>
        </w:numPr>
      </w:pPr>
      <w:r>
        <w:t xml:space="preserve">G. Jenča: 0-homogeneous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p>
      <w:pPr>
        <w:numPr>
          <w:ilvl w:val="0"/>
          <w:numId w:val="1013"/>
        </w:numPr>
      </w:pPr>
      <w:r>
        <w:t xml:space="preserve">G. Jenča: Sharp and Meager Elements in Orthocomplete Homogeneous Effect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27</w:t>
      </w:r>
      <w:r>
        <w:t xml:space="preserve"> </w:t>
      </w:r>
      <w:r>
        <w:t xml:space="preserve">(2010),</w:t>
      </w:r>
      <w:r>
        <w:t xml:space="preserve"> </w:t>
      </w:r>
      <w:r>
        <w:t xml:space="preserve">41-61,</w:t>
      </w:r>
    </w:p>
    <w:p>
      <w:pPr>
        <w:numPr>
          <w:ilvl w:val="0"/>
          <w:numId w:val="1013"/>
        </w:numPr>
      </w:pPr>
      <w:r>
        <w:t xml:space="preserve">G. Jenča: The block structure of complete lattice ordered effect algebras,</w:t>
      </w:r>
      <w:r>
        <w:t xml:space="preserve"> </w:t>
      </w:r>
      <w:r>
        <w:rPr>
          <w:iCs/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p>
      <w:pPr>
        <w:numPr>
          <w:ilvl w:val="0"/>
          <w:numId w:val="1013"/>
        </w:numPr>
      </w:pPr>
      <w:r>
        <w:t xml:space="preserve">G. Jenča: A representation theorem for MV-algebras,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557-564,</w:t>
      </w:r>
    </w:p>
    <w:p>
      <w:pPr>
        <w:numPr>
          <w:ilvl w:val="0"/>
          <w:numId w:val="1013"/>
        </w:numPr>
      </w:pPr>
      <w:r>
        <w:t xml:space="preserve">A. Di Nola, M. Holčapek, G. Jenča: The category of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(2009),</w:t>
      </w:r>
      <w:r>
        <w:t xml:space="preserve"> </w:t>
      </w:r>
      <w:r>
        <w:t xml:space="preserve">395-412,</w:t>
      </w:r>
    </w:p>
    <w:bookmarkEnd w:id="32"/>
    <w:bookmarkStart w:id="33" w:name="grantvega-g-1-7625-20"/>
    <w:p>
      <w:pPr>
        <w:pStyle w:val="Heading2"/>
      </w:pPr>
      <w:r>
        <w:t xml:space="preserve">Grant:VEGA-G-1-7625-20</w:t>
      </w:r>
    </w:p>
    <w:p>
      <w:pPr>
        <w:numPr>
          <w:ilvl w:val="0"/>
          <w:numId w:val="1014"/>
        </w:numPr>
      </w:pPr>
      <w:r>
        <w:t xml:space="preserve">G. Jenča: Finite homogeneous and lattice ordered effect algebras,</w:t>
      </w:r>
      <w:r>
        <w:t xml:space="preserve"> </w:t>
      </w:r>
      <w:r>
        <w:rPr>
          <w:iCs/>
          <w:i/>
        </w:rPr>
        <w:t xml:space="preserve">Discrete 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272</w:t>
      </w:r>
      <w:r>
        <w:t xml:space="preserve"> </w:t>
      </w:r>
      <w:r>
        <w:t xml:space="preserve">(2003),</w:t>
      </w:r>
      <w:r>
        <w:t xml:space="preserve"> </w:t>
      </w:r>
      <w:r>
        <w:t xml:space="preserve">197-214,</w:t>
      </w:r>
    </w:p>
    <w:p>
      <w:pPr>
        <w:numPr>
          <w:ilvl w:val="0"/>
          <w:numId w:val="1014"/>
        </w:numPr>
      </w:pPr>
      <w:r>
        <w:t xml:space="preserve">G. Jenča, S. Pulmannová: Orthocomplete effect algebras,</w:t>
      </w:r>
      <w:r>
        <w:t xml:space="preserve"> </w:t>
      </w:r>
      <w:r>
        <w:rPr>
          <w:iCs/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131</w:t>
      </w:r>
      <w:r>
        <w:t xml:space="preserve"> </w:t>
      </w:r>
      <w:r>
        <w:t xml:space="preserve">(2003),</w:t>
      </w:r>
      <w:r>
        <w:t xml:space="preserve"> </w:t>
      </w:r>
      <w:r>
        <w:t xml:space="preserve">2663-2671,</w:t>
      </w:r>
    </w:p>
    <w:p>
      <w:pPr>
        <w:numPr>
          <w:ilvl w:val="0"/>
          <w:numId w:val="1014"/>
        </w:numPr>
      </w:pPr>
      <w:r>
        <w:t xml:space="preserve">G. Jenča: Boolean algebras R-generated by MV-effect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145</w:t>
      </w:r>
      <w:r>
        <w:t xml:space="preserve"> </w:t>
      </w:r>
      <w:r>
        <w:t xml:space="preserve">(2004),</w:t>
      </w:r>
      <w:r>
        <w:t xml:space="preserve"> </w:t>
      </w:r>
      <w:r>
        <w:t xml:space="preserve">279-285,</w:t>
      </w:r>
    </w:p>
    <w:p>
      <w:pPr>
        <w:numPr>
          <w:ilvl w:val="0"/>
          <w:numId w:val="1014"/>
        </w:numPr>
      </w:pPr>
      <w:r>
        <w:t xml:space="preserve">G. Jenča, Z. Riečanová: A Survey on Sharp Elements in Unsharp Quantum Logics,</w:t>
      </w:r>
      <w:r>
        <w:t xml:space="preserve"> </w:t>
      </w:r>
      <w:r>
        <w:rPr>
          <w:iCs/>
          <w:i/>
        </w:rPr>
        <w:t xml:space="preserve">Journal of Electrical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52</w:t>
      </w:r>
      <w:r>
        <w:t xml:space="preserve"> </w:t>
      </w:r>
      <w:r>
        <w:t xml:space="preserve">(2001),</w:t>
      </w:r>
      <w:r>
        <w:t xml:space="preserve"> </w:t>
      </w:r>
      <w:r>
        <w:t xml:space="preserve">237-239,</w:t>
      </w:r>
    </w:p>
    <w:p>
      <w:pPr>
        <w:numPr>
          <w:ilvl w:val="0"/>
          <w:numId w:val="1014"/>
        </w:numPr>
      </w:pPr>
      <w:r>
        <w:t xml:space="preserve">G. Jenča: Blocks of homogeneous effect algebras,</w:t>
      </w:r>
      <w:r>
        <w:t xml:space="preserve"> </w:t>
      </w:r>
      <w:r>
        <w:rPr>
          <w:iCs/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p>
      <w:pPr>
        <w:numPr>
          <w:ilvl w:val="0"/>
          <w:numId w:val="1014"/>
        </w:numPr>
      </w:pPr>
      <w:r>
        <w:t xml:space="preserve">G. Jenča: A Cantor-Bernstein type theorem for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48</w:t>
      </w:r>
      <w:r>
        <w:t xml:space="preserve"> </w:t>
      </w:r>
      <w:r>
        <w:t xml:space="preserve">(2002),</w:t>
      </w:r>
      <w:r>
        <w:t xml:space="preserve"> </w:t>
      </w:r>
      <w:r>
        <w:t xml:space="preserve">399-411,</w:t>
      </w:r>
    </w:p>
    <w:bookmarkEnd w:id="33"/>
    <w:bookmarkStart w:id="34" w:name="grantapvv-18-0052"/>
    <w:p>
      <w:pPr>
        <w:pStyle w:val="Heading2"/>
      </w:pPr>
      <w:r>
        <w:t xml:space="preserve">Grant:APVV-18-0052</w:t>
      </w:r>
    </w:p>
    <w:p>
      <w:pPr>
        <w:numPr>
          <w:ilvl w:val="0"/>
          <w:numId w:val="1015"/>
        </w:numPr>
        <w:pStyle w:val="Compact"/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bookmarkEnd w:id="34"/>
    <w:bookmarkStart w:id="35" w:name="grantapvv-0071-06"/>
    <w:p>
      <w:pPr>
        <w:pStyle w:val="Heading2"/>
      </w:pPr>
      <w:r>
        <w:t xml:space="preserve">Grant:APVV-0071-06</w:t>
      </w:r>
    </w:p>
    <w:p>
      <w:pPr>
        <w:numPr>
          <w:ilvl w:val="0"/>
          <w:numId w:val="1016"/>
        </w:numPr>
      </w:pPr>
      <w:r>
        <w:t xml:space="preserve">G. Jenča: 0-homogeneous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p>
      <w:pPr>
        <w:numPr>
          <w:ilvl w:val="0"/>
          <w:numId w:val="1016"/>
        </w:numPr>
      </w:pPr>
      <w:r>
        <w:t xml:space="preserve">G. Jenča: Sharp and Meager Elements in Orthocomplete Homogeneous Effect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27</w:t>
      </w:r>
      <w:r>
        <w:t xml:space="preserve"> </w:t>
      </w:r>
      <w:r>
        <w:t xml:space="preserve">(2010),</w:t>
      </w:r>
      <w:r>
        <w:t xml:space="preserve"> </w:t>
      </w:r>
      <w:r>
        <w:t xml:space="preserve">41-61,</w:t>
      </w:r>
    </w:p>
    <w:p>
      <w:pPr>
        <w:numPr>
          <w:ilvl w:val="0"/>
          <w:numId w:val="1016"/>
        </w:numPr>
      </w:pPr>
      <w:r>
        <w:t xml:space="preserve">A. Di Nola, M. Holčapek, G. Jenča: The category of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(2009),</w:t>
      </w:r>
      <w:r>
        <w:t xml:space="preserve"> </w:t>
      </w:r>
      <w:r>
        <w:t xml:space="preserve">395-412,</w:t>
      </w:r>
    </w:p>
    <w:p>
      <w:pPr>
        <w:numPr>
          <w:ilvl w:val="0"/>
          <w:numId w:val="1016"/>
        </w:numPr>
      </w:pPr>
      <w:r>
        <w:t xml:space="preserve">G. Jenča: Extensions of Witness Mappings,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(2012),</w:t>
      </w:r>
      <w:r>
        <w:t xml:space="preserve"> </w:t>
      </w:r>
      <w:r>
        <w:t xml:space="preserve">533-544,</w:t>
      </w:r>
    </w:p>
    <w:p>
      <w:pPr>
        <w:numPr>
          <w:ilvl w:val="0"/>
          <w:numId w:val="1016"/>
        </w:numPr>
      </w:pPr>
      <w:r>
        <w:t xml:space="preserve">G. Jenča: Coexistence in interval effect algebras,</w:t>
      </w:r>
      <w:r>
        <w:t xml:space="preserve"> </w:t>
      </w:r>
      <w:r>
        <w:rPr>
          <w:iCs/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139</w:t>
      </w:r>
      <w:r>
        <w:t xml:space="preserve"> </w:t>
      </w:r>
      <w:r>
        <w:t xml:space="preserve">(2011),</w:t>
      </w:r>
      <w:r>
        <w:t xml:space="preserve"> </w:t>
      </w:r>
      <w:r>
        <w:t xml:space="preserve">331-344,</w:t>
      </w:r>
    </w:p>
    <w:bookmarkEnd w:id="35"/>
    <w:bookmarkStart w:id="36" w:name="grantvega-g-1-0297-11"/>
    <w:p>
      <w:pPr>
        <w:pStyle w:val="Heading2"/>
      </w:pPr>
      <w:r>
        <w:t xml:space="preserve">Grant:VEGA-G-1-0297-11</w:t>
      </w:r>
    </w:p>
    <w:p>
      <w:pPr>
        <w:numPr>
          <w:ilvl w:val="0"/>
          <w:numId w:val="1017"/>
        </w:numPr>
      </w:pPr>
      <w:r>
        <w:t xml:space="preserve">G. Jenča: Effect Algebras are the Eilenberg-Moore Category for the Kalmbach Monad,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p>
      <w:pPr>
        <w:numPr>
          <w:ilvl w:val="0"/>
          <w:numId w:val="1017"/>
        </w:numPr>
      </w:pPr>
      <w:r>
        <w:t xml:space="preserve">G. Jenča, P. Sarkoci: Linear extensions and order-preserving poset partitions,</w:t>
      </w:r>
      <w:r>
        <w:t xml:space="preserve"> </w:t>
      </w:r>
      <w:r>
        <w:rPr>
          <w:iCs/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Cs/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p>
      <w:pPr>
        <w:numPr>
          <w:ilvl w:val="0"/>
          <w:numId w:val="1017"/>
        </w:numPr>
      </w:pPr>
      <w:r>
        <w:t xml:space="preserve">G. Jenča: Congruences generated by ideals of the compatibility center of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(2013),</w:t>
      </w:r>
      <w:r>
        <w:t xml:space="preserve"> </w:t>
      </w:r>
      <w:r>
        <w:t xml:space="preserve">45-47,</w:t>
      </w:r>
    </w:p>
    <w:p>
      <w:pPr>
        <w:numPr>
          <w:ilvl w:val="0"/>
          <w:numId w:val="1017"/>
        </w:numPr>
      </w:pPr>
      <w:r>
        <w:t xml:space="preserve">G. Jenča: Compatibility support mappings in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363-378,</w:t>
      </w:r>
    </w:p>
    <w:p>
      <w:pPr>
        <w:numPr>
          <w:ilvl w:val="0"/>
          <w:numId w:val="1017"/>
        </w:numPr>
      </w:pPr>
      <w:r>
        <w:t xml:space="preserve">G. Jenča: Extensions of Witness Mappings,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(2012),</w:t>
      </w:r>
      <w:r>
        <w:t xml:space="preserve"> </w:t>
      </w:r>
      <w:r>
        <w:t xml:space="preserve">533-544,</w:t>
      </w:r>
    </w:p>
    <w:bookmarkEnd w:id="36"/>
    <w:bookmarkStart w:id="37" w:name="grantvega-g-1-0500-09"/>
    <w:p>
      <w:pPr>
        <w:pStyle w:val="Heading2"/>
      </w:pPr>
      <w:r>
        <w:t xml:space="preserve">Grant:VEGA-G-1-0500-09</w:t>
      </w:r>
    </w:p>
    <w:p>
      <w:pPr>
        <w:numPr>
          <w:ilvl w:val="0"/>
          <w:numId w:val="1018"/>
        </w:numPr>
        <w:pStyle w:val="Compact"/>
      </w:pPr>
      <w:r>
        <w:t xml:space="preserve">G. Jenča: 0-homogeneous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bookmarkEnd w:id="37"/>
    <w:bookmarkStart w:id="38" w:name="grantvega-1-0420-15"/>
    <w:p>
      <w:pPr>
        <w:pStyle w:val="Heading2"/>
      </w:pPr>
      <w:r>
        <w:t xml:space="preserve">Grant:VEGA-1-0420-15</w:t>
      </w:r>
    </w:p>
    <w:p>
      <w:pPr>
        <w:numPr>
          <w:ilvl w:val="0"/>
          <w:numId w:val="1019"/>
        </w:numPr>
      </w:pPr>
      <w:r>
        <w:t xml:space="preserve">G. Jenča: Two monads on the category of graphs,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(2019),</w:t>
      </w:r>
      <w:r>
        <w:t xml:space="preserve"> </w:t>
      </w:r>
      <w:r>
        <w:t xml:space="preserve">257-266,</w:t>
      </w:r>
    </w:p>
    <w:p>
      <w:pPr>
        <w:numPr>
          <w:ilvl w:val="0"/>
          <w:numId w:val="1019"/>
        </w:numPr>
      </w:pPr>
      <w:r>
        <w:t xml:space="preserve">A. Jenčová, G. Jenča: On Monoids in the Category of Sets and Relations,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p>
      <w:pPr>
        <w:numPr>
          <w:ilvl w:val="0"/>
          <w:numId w:val="1019"/>
        </w:numPr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38"/>
    <w:bookmarkStart w:id="39" w:name="grantvega-1-0006-19"/>
    <w:p>
      <w:pPr>
        <w:pStyle w:val="Heading2"/>
      </w:pPr>
      <w:r>
        <w:t xml:space="preserve">Grant:VEGA-1-0006-19</w:t>
      </w:r>
    </w:p>
    <w:p>
      <w:pPr>
        <w:numPr>
          <w:ilvl w:val="0"/>
          <w:numId w:val="1020"/>
        </w:numPr>
        <w:pStyle w:val="Compact"/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2021-12-20T12:55:11Z</dcterms:created>
  <dcterms:modified xsi:type="dcterms:W3CDTF">2021-12-20T12:55:11Z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