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pvv-16-0073-roky-2015súčasnosť"/>
    <w:p>
      <w:pPr>
        <w:pStyle w:val="Heading1"/>
      </w:pPr>
      <w:r>
        <w:t xml:space="preserve">APVV-16-0073 roky 2015–súčasnosť</w:t>
      </w:r>
    </w:p>
    <w:bookmarkStart w:id="20" w:name="publikované-články"/>
    <w:p>
      <w:pPr>
        <w:pStyle w:val="Heading3"/>
      </w:pPr>
      <w:r>
        <w:t xml:space="preserve">Publikované články</w:t>
      </w:r>
    </w:p>
    <w:p>
      <w:pPr>
        <w:numPr>
          <w:ilvl w:val="0"/>
          <w:numId w:val="1001"/>
        </w:numPr>
      </w:pPr>
      <w:r>
        <w:t xml:space="preserve">G. Jenča: Effect Algebras as Presheaves on Finite Boolean Algebras,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35</w:t>
      </w:r>
      <w:r>
        <w:t xml:space="preserve"> </w:t>
      </w:r>
      <w:r>
        <w:t xml:space="preserve">(2018),</w:t>
      </w:r>
      <w:r>
        <w:t xml:space="preserve"> </w:t>
      </w:r>
      <w:r>
        <w:t xml:space="preserve">525-540</w:t>
      </w:r>
    </w:p>
    <w:p>
      <w:pPr>
        <w:numPr>
          <w:ilvl w:val="0"/>
          <w:numId w:val="1001"/>
        </w:numPr>
      </w:pPr>
      <w:r>
        <w:t xml:space="preserve">G. Jenča: Two monads on the category of graphs,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69</w:t>
      </w:r>
      <w:r>
        <w:t xml:space="preserve"> </w:t>
      </w:r>
      <w:r>
        <w:t xml:space="preserve">(2019),</w:t>
      </w:r>
      <w:r>
        <w:t xml:space="preserve"> </w:t>
      </w:r>
      <w:r>
        <w:t xml:space="preserve">257-266</w:t>
      </w:r>
    </w:p>
    <w:p>
      <w:pPr>
        <w:numPr>
          <w:ilvl w:val="0"/>
          <w:numId w:val="1001"/>
        </w:numPr>
      </w:pPr>
      <w:r>
        <w:t xml:space="preserve">G. Jenča: Pseudo effect algebras are algebras over bounded posets,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397</w:t>
      </w:r>
      <w:r>
        <w:t xml:space="preserve"> </w:t>
      </w:r>
      <w:r>
        <w:t xml:space="preserve">(2020),</w:t>
      </w:r>
      <w:r>
        <w:t xml:space="preserve"> </w:t>
      </w:r>
      <w:r>
        <w:t xml:space="preserve">179-185</w:t>
      </w:r>
    </w:p>
    <w:bookmarkEnd w:id="20"/>
    <w:bookmarkStart w:id="25" w:name="citácie"/>
    <w:p>
      <w:pPr>
        <w:pStyle w:val="Heading3"/>
      </w:pPr>
      <w:r>
        <w:t xml:space="preserve">Citácie</w:t>
      </w:r>
    </w:p>
    <w:bookmarkStart w:id="21" w:name="článok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Jenča: Effect Algebras as Presheaves on Finite Boolean Algebras,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35</w:t>
      </w:r>
      <w:r>
        <w:t xml:space="preserve"> </w:t>
      </w:r>
      <w:r>
        <w:t xml:space="preserve">(2018),</w:t>
      </w:r>
      <w:r>
        <w:t xml:space="preserve"> </w:t>
      </w:r>
      <w:r>
        <w:t xml:space="preserve">525-540</w:t>
      </w:r>
    </w:p>
    <w:bookmarkEnd w:id="21"/>
    <w:bookmarkStart w:id="22" w:name="citovaný-v-1"/>
    <w:p>
      <w:pPr>
        <w:pStyle w:val="Heading4"/>
      </w:pPr>
      <w:r>
        <w:t xml:space="preserve">Citovaný v (1):</w:t>
      </w:r>
    </w:p>
    <w:p>
      <w:pPr>
        <w:numPr>
          <w:ilvl w:val="0"/>
          <w:numId w:val="1002"/>
        </w:numPr>
        <w:pStyle w:val="Compact"/>
      </w:pPr>
      <w:r>
        <w:t xml:space="preserve">K. Cho, B. Westerbaan, J. van deWetering: Dichotomy between deterministic and probabilistic models in countably additive effectus theory,</w:t>
      </w:r>
      <w:r>
        <w:t xml:space="preserve"> </w:t>
      </w:r>
      <w:r>
        <w:rPr>
          <w:iCs/>
          <w:i/>
        </w:rPr>
        <w:t xml:space="preserve">Electronic Proceedings in Theoretical Computer Science, EPTCS</w:t>
      </w:r>
      <w:r>
        <w:t xml:space="preserve">,</w:t>
      </w:r>
      <w:r>
        <w:t xml:space="preserve"> </w:t>
      </w:r>
      <w:r>
        <w:rPr>
          <w:bCs/>
          <w:b/>
        </w:rPr>
        <w:t xml:space="preserve">340</w:t>
      </w:r>
      <w:r>
        <w:t xml:space="preserve"> </w:t>
      </w:r>
      <w:r>
        <w:t xml:space="preserve">(2021),</w:t>
      </w:r>
      <w:r>
        <w:t xml:space="preserve"> </w:t>
      </w:r>
      <w:r>
        <w:t xml:space="preserve">91-113</w:t>
      </w:r>
    </w:p>
    <w:bookmarkEnd w:id="22"/>
    <w:bookmarkStart w:id="23" w:name="článok-1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Jenča: Pseudo effect algebras are algebras over bounded posets,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397</w:t>
      </w:r>
      <w:r>
        <w:t xml:space="preserve"> </w:t>
      </w:r>
      <w:r>
        <w:t xml:space="preserve">(2020),</w:t>
      </w:r>
      <w:r>
        <w:t xml:space="preserve"> </w:t>
      </w:r>
      <w:r>
        <w:t xml:space="preserve">179-185</w:t>
      </w:r>
    </w:p>
    <w:bookmarkEnd w:id="23"/>
    <w:bookmarkStart w:id="24" w:name="citovaný-v-3"/>
    <w:p>
      <w:pPr>
        <w:pStyle w:val="Heading4"/>
      </w:pPr>
      <w:r>
        <w:t xml:space="preserve">Citovaný v (3):</w:t>
      </w:r>
    </w:p>
    <w:p>
      <w:pPr>
        <w:numPr>
          <w:ilvl w:val="0"/>
          <w:numId w:val="1003"/>
        </w:numPr>
      </w:pPr>
      <w:r>
        <w:t xml:space="preserve">A. Dvurečenskij, D. Lachman: n-dimensional observables on k-perfect MV-algebras and k-perfect effect algebras. I. Characteristic points,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442</w:t>
      </w:r>
      <w:r>
        <w:t xml:space="preserve"> </w:t>
      </w:r>
      <w:r>
        <w:t xml:space="preserve">(2022),</w:t>
      </w:r>
      <w:r>
        <w:t xml:space="preserve"> </w:t>
      </w:r>
      <w:r>
        <w:t xml:space="preserve">1-16</w:t>
      </w:r>
    </w:p>
    <w:p>
      <w:pPr>
        <w:numPr>
          <w:ilvl w:val="0"/>
          <w:numId w:val="1003"/>
        </w:numPr>
      </w:pPr>
      <w:r>
        <w:t xml:space="preserve">J. van deWetering: A Categorical Construction of the Real Unit Interval,</w:t>
      </w:r>
      <w:r>
        <w:t xml:space="preserve"> </w:t>
      </w:r>
      <w:r>
        <w:rPr>
          <w:iCs/>
          <w:i/>
        </w:rPr>
        <w:t xml:space="preserve">Electronic Proceedings in Theoretical Computer Science, EPTCS</w:t>
      </w:r>
      <w:r>
        <w:t xml:space="preserve">,</w:t>
      </w:r>
      <w:r>
        <w:t xml:space="preserve"> </w:t>
      </w:r>
      <w:r>
        <w:rPr>
          <w:bCs/>
          <w:b/>
        </w:rPr>
        <w:t xml:space="preserve">372</w:t>
      </w:r>
      <w:r>
        <w:t xml:space="preserve"> </w:t>
      </w:r>
      <w:r>
        <w:t xml:space="preserve">(2022),</w:t>
      </w:r>
      <w:r>
        <w:t xml:space="preserve"> </w:t>
      </w:r>
      <w:r>
        <w:t xml:space="preserve">43-58</w:t>
      </w:r>
    </w:p>
    <w:p>
      <w:pPr>
        <w:numPr>
          <w:ilvl w:val="0"/>
          <w:numId w:val="1003"/>
        </w:numPr>
      </w:pPr>
      <w:r>
        <w:t xml:space="preserve">F.-G. Shi, X. Wei: Interval convexity of scale effect algebras,</w:t>
      </w:r>
      <w:r>
        <w:t xml:space="preserve"> </w:t>
      </w:r>
      <w:r>
        <w:rPr>
          <w:iCs/>
          <w:i/>
        </w:rPr>
        <w:t xml:space="preserve">Communications in Algebra</w:t>
      </w:r>
      <w:r>
        <w:t xml:space="preserve">,</w:t>
      </w:r>
      <w:r>
        <w:t xml:space="preserve"> </w:t>
      </w:r>
      <w:r>
        <w:rPr>
          <w:bCs/>
          <w:b/>
        </w:rPr>
        <w:t xml:space="preserve">51</w:t>
      </w:r>
      <w:r>
        <w:t xml:space="preserve"> </w:t>
      </w:r>
      <w:r>
        <w:t xml:space="preserve">(2023),</w:t>
      </w:r>
      <w:r>
        <w:t xml:space="preserve"> </w:t>
      </w:r>
      <w:r>
        <w:t xml:space="preserve">2877-2894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2024-02-14T08:34:18Z</dcterms:created>
  <dcterms:modified xsi:type="dcterms:W3CDTF">2024-02-14T08:34:18Z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