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="200" w:after="0"/>
        <w:rPr>
          <w:b/>
          <w:bCs/>
          <w:color w:val="C9211E"/>
        </w:rPr>
      </w:pPr>
      <w:r>
        <w:rPr>
          <w:b/>
          <w:bCs/>
          <w:color w:val="C9211E"/>
        </w:rPr>
        <w:t>Zaslané články:</w:t>
      </w:r>
    </w:p>
    <w:p>
      <w:pPr>
        <w:pStyle w:val="BodyText"/>
        <w:spacing w:before="200" w:after="0"/>
        <w:rPr>
          <w:rFonts w:ascii="Arial" w:hAnsi="Arial"/>
        </w:rPr>
      </w:pPr>
      <w:r>
        <w:rPr>
          <w:rFonts w:ascii="Arial" w:hAnsi="Arial"/>
        </w:rPr>
        <w:t xml:space="preserve">G.Jenča: </w:t>
      </w:r>
      <w:r>
        <w:rPr>
          <w:rFonts w:ascii="Arial" w:hAnsi="Arial"/>
          <w:i w:val="false"/>
          <w:iCs w:val="false"/>
        </w:rPr>
        <w:t xml:space="preserve">N-free posets and orthomodularity, zaslané do </w:t>
      </w:r>
      <w:r>
        <w:rPr>
          <w:rFonts w:ascii="Arial" w:hAnsi="Arial"/>
          <w:i/>
          <w:iCs/>
        </w:rPr>
        <w:t>Discrete Applied Mathematics</w:t>
      </w:r>
    </w:p>
    <w:p>
      <w:pPr>
        <w:pStyle w:val="BodyText"/>
        <w:spacing w:before="200" w:after="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Stručný obsah: Konečný poset je N-free práve vtedy, keď je jeho ortoset neporovnateľnosti Daceyovský, a teda indukuje ortomodulárny zväz. Charakterizované Daceyovské ortosety, ktoré indukujú Booleovu algebru.</w:t>
      </w:r>
    </w:p>
    <w:p>
      <w:pPr>
        <w:pStyle w:val="BodyText"/>
        <w:spacing w:before="200" w:after="0"/>
        <w:rPr>
          <w:rFonts w:ascii="Arial" w:hAnsi="Arial"/>
        </w:rPr>
      </w:pPr>
      <w:r>
        <w:rPr>
          <w:rFonts w:ascii="Arial" w:hAnsi="Arial"/>
          <w:i w:val="false"/>
          <w:iCs w:val="false"/>
        </w:rPr>
        <w:t>Preprint prikladám</w:t>
      </w:r>
    </w:p>
    <w:p>
      <w:pPr>
        <w:pStyle w:val="Heading2"/>
        <w:rPr>
          <w:color w:val="C9211E"/>
        </w:rPr>
      </w:pPr>
      <w:r>
        <w:rPr>
          <w:rFonts w:ascii="Arial" w:hAnsi="Arial"/>
          <w:i w:val="false"/>
          <w:iCs w:val="false"/>
          <w:color w:val="C9211E"/>
        </w:rPr>
        <w:t>Citácie:</w:t>
      </w:r>
    </w:p>
    <w:p>
      <w:pPr>
        <w:pStyle w:val="Heading3"/>
        <w:spacing w:before="200" w:after="0"/>
        <w:rPr>
          <w:rFonts w:ascii="Arial" w:hAnsi="Arial"/>
        </w:rPr>
      </w:pPr>
      <w:bookmarkStart w:id="0" w:name="paper"/>
      <w:r>
        <w:rPr>
          <w:rFonts w:ascii="Arial" w:hAnsi="Arial"/>
        </w:rPr>
        <w:t>Paper:</w:t>
      </w:r>
    </w:p>
    <w:p>
      <w:pPr>
        <w:pStyle w:val="FirstParagrap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t xml:space="preserve">G. Jenča: Orthomodular posets are algebras over bounded posets with involution, </w:t>
      </w:r>
      <w:r>
        <w:rPr>
          <w:rFonts w:ascii="Arial" w:hAnsi="Arial"/>
          <w:i/>
          <w:iCs/>
        </w:rPr>
        <w:t>Soft Computing</w:t>
      </w:r>
      <w:r>
        <w:rPr>
          <w:rFonts w:ascii="Arial" w:hAnsi="Arial"/>
          <w:i w:val="false"/>
          <w:iCs w:val="false"/>
        </w:rPr>
        <w:t xml:space="preserve">, </w:t>
      </w:r>
      <w:r>
        <w:rPr>
          <w:rFonts w:ascii="Arial" w:hAnsi="Arial"/>
          <w:b/>
          <w:bCs/>
          <w:i w:val="false"/>
          <w:iCs w:val="false"/>
        </w:rPr>
        <w:t>26</w:t>
      </w:r>
      <w:r>
        <w:rPr>
          <w:rFonts w:ascii="Arial" w:hAnsi="Arial"/>
          <w:i w:val="false"/>
          <w:iCs w:val="false"/>
        </w:rPr>
        <w:t xml:space="preserve"> (2022), 491-498</w:t>
      </w:r>
      <w:bookmarkEnd w:id="0"/>
    </w:p>
    <w:p>
      <w:pPr>
        <w:pStyle w:val="Heading3"/>
        <w:rPr>
          <w:rFonts w:ascii="Arial" w:hAnsi="Arial"/>
        </w:rPr>
      </w:pPr>
      <w:bookmarkStart w:id="1" w:name="cited-in-1"/>
      <w:r>
        <w:rPr>
          <w:rFonts w:ascii="Arial" w:hAnsi="Arial"/>
        </w:rPr>
        <w:t>Cited in (1):</w:t>
      </w:r>
    </w:p>
    <w:p>
      <w:pPr>
        <w:pStyle w:val="Compact"/>
        <w:numPr>
          <w:ilvl w:val="0"/>
          <w:numId w:val="3"/>
        </w:numPr>
        <w:spacing w:before="36" w:after="36"/>
        <w:rPr>
          <w:rFonts w:ascii="Arial" w:hAnsi="Arial"/>
        </w:rPr>
      </w:pPr>
      <w:r>
        <w:rPr>
          <w:rFonts w:ascii="Arial" w:hAnsi="Arial"/>
        </w:rPr>
        <w:t xml:space="preserve">X. Wei, F.-G. Shi: Convexity-preserving Properties of Partial Binary Operations with Respect to Filter Convex Structures on Effect Algebras, </w:t>
      </w:r>
      <w:r>
        <w:rPr>
          <w:rFonts w:ascii="Arial" w:hAnsi="Arial"/>
          <w:i/>
          <w:iCs/>
        </w:rPr>
        <w:t>International Journal of Theoretical Physics</w:t>
      </w:r>
      <w:r>
        <w:rPr>
          <w:rFonts w:ascii="Arial" w:hAnsi="Arial"/>
        </w:rPr>
        <w:t xml:space="preserve">, </w:t>
      </w:r>
      <w:r>
        <w:rPr>
          <w:rFonts w:ascii="Arial" w:hAnsi="Arial"/>
          <w:b/>
          <w:bCs/>
        </w:rPr>
        <w:t>61</w:t>
      </w:r>
      <w:r>
        <w:rPr>
          <w:rFonts w:ascii="Arial" w:hAnsi="Arial"/>
        </w:rPr>
        <w:t xml:space="preserve"> (2022), art. nr. 195</w:t>
      </w:r>
      <w:bookmarkEnd w:id="1"/>
    </w:p>
    <w:p>
      <w:pPr>
        <w:pStyle w:val="Compact"/>
        <w:spacing w:before="36" w:after="36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2"/>
        <w:rPr>
          <w:color w:val="C9211E"/>
        </w:rPr>
      </w:pPr>
      <w:r>
        <w:rPr>
          <w:color w:val="C9211E"/>
        </w:rPr>
        <w:t>Konferencie:</w:t>
      </w:r>
    </w:p>
    <w:p>
      <w:pPr>
        <w:pStyle w:val="BodyText"/>
        <w:spacing w:before="180" w:after="18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TACL 2024, 1.--5. Júl 2024, Barcelona, Španielsko ; </w:t>
      </w:r>
      <w:r>
        <w:rPr>
          <w:rFonts w:ascii="Arial" w:hAnsi="Arial"/>
          <w:color w:val="000000"/>
        </w:rPr>
        <w:t>dva príspevky</w:t>
      </w:r>
    </w:p>
    <w:p>
      <w:pPr>
        <w:pStyle w:val="BodyText"/>
        <w:spacing w:before="180" w:after="18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G. Jenča: Finite lattices, N-free posets and orthomodularity</w:t>
      </w:r>
    </w:p>
    <w:p>
      <w:pPr>
        <w:pStyle w:val="BodyText"/>
        <w:spacing w:before="180" w:after="18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G. Jenča, B. Lindehovius: Semicartesian categories of relations</w:t>
      </w:r>
    </w:p>
    <w:p>
      <w:pPr>
        <w:pStyle w:val="BodyText"/>
        <w:spacing w:before="180" w:after="18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publikačný výstup: abstrakt</w:t>
      </w:r>
      <w:r>
        <w:rPr>
          <w:rFonts w:ascii="Arial" w:hAnsi="Arial"/>
          <w:color w:val="000000"/>
        </w:rPr>
        <w:t xml:space="preserve">y </w:t>
      </w:r>
      <w:r>
        <w:rPr>
          <w:rFonts w:ascii="Arial" w:hAnsi="Arial"/>
          <w:color w:val="000000"/>
        </w:rPr>
        <w:t>v zborníku (prikladám)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suppressAutoHyphens w:val="true"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LibreOffice/24.2.7.2$Linux_X86_64 LibreOffice_project/420$Build-2</Application>
  <AppVersion>15.0000</AppVersion>
  <Pages>1</Pages>
  <Words>125</Words>
  <Characters>819</Characters>
  <CharactersWithSpaces>928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2024-12-04T21:22:40Z</dcterms:created>
  <dc:creator/>
  <dc:description/>
  <dc:language>sk-SK</dc:language>
  <cp:lastModifiedBy/>
  <dcterms:modified xsi:type="dcterms:W3CDTF">2024-12-04T22:56:31Z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