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voc-2020"/>
    <w:p>
      <w:pPr>
        <w:pStyle w:val="Heading1"/>
      </w:pPr>
      <w:r>
        <w:t xml:space="preserve">VOC 2020</w:t>
      </w:r>
    </w:p>
    <w:bookmarkStart w:id="20" w:name="X735d45695cc5306c361cb9c58c2e9fb84488b92"/>
    <w:p>
      <w:pPr>
        <w:pStyle w:val="Heading3"/>
      </w:pPr>
      <w:r>
        <w:t xml:space="preserve">Karentované (Current Contents) časopisy zahraničné aj domáce</w:t>
      </w:r>
    </w:p>
    <w:p>
      <w:pPr>
        <w:numPr>
          <w:ilvl w:val="0"/>
          <w:numId w:val="1001"/>
        </w:numPr>
        <w:pStyle w:val="Compact"/>
      </w:pPr>
      <w:r>
        <w:t xml:space="preserve">G. Jenča: Pseudo effect algebras are algebras over bounded posets,</w:t>
      </w:r>
      <w:r>
        <w:t xml:space="preserve"> </w:t>
      </w:r>
      <w:r>
        <w:rPr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bookmarkEnd w:id="20"/>
    <w:bookmarkStart w:id="29" w:name="Xed9280aa33cfd94e5e694f1301ede79bd055341"/>
    <w:p>
      <w:pPr>
        <w:pStyle w:val="Heading3"/>
      </w:pPr>
      <w:r>
        <w:t xml:space="preserve">Citácie podľa SCI, multidisciplinárne ISI, SCOPUS – len zahraničný autor</w:t>
      </w:r>
    </w:p>
    <w:bookmarkStart w:id="21" w:name="článok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Blocks of homogeneous effect algebras,</w:t>
      </w:r>
      <w:r>
        <w:t xml:space="preserve"> </w:t>
      </w:r>
      <w:r>
        <w:rPr>
          <w:i/>
        </w:rPr>
        <w:t xml:space="preserve">Bulletin of the Australian Mathematical Society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 </w:t>
      </w:r>
      <w:r>
        <w:t xml:space="preserve">(2001),</w:t>
      </w:r>
      <w:r>
        <w:t xml:space="preserve"> </w:t>
      </w:r>
      <w:r>
        <w:t xml:space="preserve">81-98,</w:t>
      </w:r>
    </w:p>
    <w:bookmarkEnd w:id="21"/>
    <w:bookmarkStart w:id="22" w:name="citovaný-v-2"/>
    <w:p>
      <w:pPr>
        <w:pStyle w:val="Heading4"/>
      </w:pPr>
      <w:r>
        <w:t xml:space="preserve">Citovaný v (2):</w:t>
      </w:r>
    </w:p>
    <w:p>
      <w:pPr>
        <w:numPr>
          <w:ilvl w:val="0"/>
          <w:numId w:val="1002"/>
        </w:numPr>
      </w:pPr>
      <w:r>
        <w:t xml:space="preserve">C. Dietzel, W. Rump: The structure group of a non-degenerate effect algebra,</w:t>
      </w:r>
      <w:r>
        <w:t xml:space="preserve"> </w:t>
      </w:r>
      <w:r>
        <w:rPr>
          <w:i/>
        </w:rPr>
        <w:t xml:space="preserve">Algebra Universalis</w:t>
      </w:r>
      <w:r>
        <w:t xml:space="preserve">,</w:t>
      </w:r>
      <w:r>
        <w:t xml:space="preserve"> </w:t>
      </w:r>
      <w:r>
        <w:rPr>
          <w:b/>
        </w:rPr>
        <w:t xml:space="preserve">81</w:t>
      </w:r>
      <w:r>
        <w:t xml:space="preserve"> </w:t>
      </w:r>
      <w:r>
        <w:t xml:space="preserve">(2020),</w:t>
      </w:r>
      <w:r>
        <w:t xml:space="preserve"> </w:t>
      </w:r>
      <w:r>
        <w:t xml:space="preserve">art. nr. 27,</w:t>
      </w:r>
    </w:p>
    <w:p>
      <w:pPr>
        <w:numPr>
          <w:ilvl w:val="0"/>
          <w:numId w:val="1002"/>
        </w:numPr>
      </w:pPr>
      <w:r>
        <w:t xml:space="preserve">A. Westerbaan, B. Westerbaan, J. Van De Wetering: A characterisation of ordered abstract probabilities,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LICS ’20: Proceedings of the 35th Annual ACM/IEEE Symposium on Logic in Computer Science</w:t>
      </w:r>
      <w:r>
        <w:t xml:space="preserve">,</w:t>
      </w:r>
      <w:r>
        <w:t xml:space="preserve"> </w:t>
      </w:r>
      <w:r>
        <w:t xml:space="preserve">ACM International Conference Proceeding Series,</w:t>
      </w:r>
      <w:r>
        <w:t xml:space="preserve"> </w:t>
      </w:r>
      <w:r>
        <w:t xml:space="preserve">2020,</w:t>
      </w:r>
      <w:r>
        <w:t xml:space="preserve"> </w:t>
      </w:r>
      <w:r>
        <w:t xml:space="preserve">944-957,</w:t>
      </w:r>
      <w:r>
        <w:t xml:space="preserve"> </w:t>
      </w:r>
      <w:r>
        <w:t xml:space="preserve">art. nr. 3394742,</w:t>
      </w:r>
    </w:p>
    <w:bookmarkEnd w:id="22"/>
    <w:bookmarkStart w:id="23" w:name="článok-1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Jenča, P. Sarkoci: Linear extensions and order-preserving poset partitions,</w:t>
      </w:r>
      <w:r>
        <w:t xml:space="preserve"> </w:t>
      </w:r>
      <w:r>
        <w:rPr>
          <w:i/>
        </w:rPr>
        <w:t xml:space="preserve">Journal of Combinatorial Theory, Series A</w:t>
      </w:r>
      <w:r>
        <w:t xml:space="preserve">,</w:t>
      </w:r>
      <w:r>
        <w:t xml:space="preserve"> </w:t>
      </w:r>
      <w:r>
        <w:rPr>
          <w:b/>
        </w:rPr>
        <w:t xml:space="preserve">122</w:t>
      </w:r>
      <w:r>
        <w:t xml:space="preserve"> </w:t>
      </w:r>
      <w:r>
        <w:t xml:space="preserve">(2014),</w:t>
      </w:r>
      <w:r>
        <w:t xml:space="preserve"> </w:t>
      </w:r>
      <w:r>
        <w:t xml:space="preserve">28-38,</w:t>
      </w:r>
    </w:p>
    <w:bookmarkEnd w:id="23"/>
    <w:bookmarkStart w:id="24" w:name="citovaný-v-1"/>
    <w:p>
      <w:pPr>
        <w:pStyle w:val="Heading4"/>
      </w:pPr>
      <w:r>
        <w:t xml:space="preserve">Citovaný v (1):</w:t>
      </w:r>
    </w:p>
    <w:p>
      <w:pPr>
        <w:numPr>
          <w:ilvl w:val="0"/>
          <w:numId w:val="1003"/>
        </w:numPr>
        <w:pStyle w:val="Compact"/>
      </w:pPr>
      <w:r>
        <w:t xml:space="preserve">P. Bonnier, H. Oberhauser: Signature cumulants, ordered partitions, and independence of stochastic processes,</w:t>
      </w:r>
      <w:r>
        <w:t xml:space="preserve"> </w:t>
      </w:r>
      <w:r>
        <w:rPr>
          <w:i/>
        </w:rPr>
        <w:t xml:space="preserve">Bernoulli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 </w:t>
      </w:r>
      <w:r>
        <w:t xml:space="preserve">(2020),</w:t>
      </w:r>
      <w:r>
        <w:t xml:space="preserve"> </w:t>
      </w:r>
      <w:r>
        <w:t xml:space="preserve">2727-2757,</w:t>
      </w:r>
    </w:p>
    <w:bookmarkEnd w:id="24"/>
    <w:bookmarkStart w:id="25" w:name="článok-2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Effect Algebras are the Eilenberg-Moore Category for the Kalmbach Monad,</w:t>
      </w:r>
      <w:r>
        <w:t xml:space="preserve"> </w:t>
      </w:r>
      <w:r>
        <w:rPr>
          <w:i/>
        </w:rPr>
        <w:t xml:space="preserve">Order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 </w:t>
      </w:r>
      <w:r>
        <w:t xml:space="preserve">(2015),</w:t>
      </w:r>
      <w:r>
        <w:t xml:space="preserve"> </w:t>
      </w:r>
      <w:r>
        <w:t xml:space="preserve">439-448,</w:t>
      </w:r>
    </w:p>
    <w:bookmarkEnd w:id="25"/>
    <w:bookmarkStart w:id="26" w:name="citovaný-v-1-1"/>
    <w:p>
      <w:pPr>
        <w:pStyle w:val="Heading4"/>
      </w:pPr>
      <w:r>
        <w:t xml:space="preserve">Citovaný v (1):</w:t>
      </w:r>
    </w:p>
    <w:p>
      <w:pPr>
        <w:numPr>
          <w:ilvl w:val="0"/>
          <w:numId w:val="1004"/>
        </w:numPr>
        <w:pStyle w:val="Compact"/>
      </w:pPr>
      <w:r>
        <w:t xml:space="preserve">A. Westerbaan, B. Westerbaan, J. Van De Wetering: A characterisation of ordered abstract probabilities,</w:t>
      </w:r>
      <w:r>
        <w:t xml:space="preserve"> </w:t>
      </w:r>
      <w:r>
        <w:t xml:space="preserve">In:</w:t>
      </w:r>
      <w:r>
        <w:t xml:space="preserve"> </w:t>
      </w:r>
      <w:r>
        <w:rPr>
          <w:i/>
        </w:rPr>
        <w:t xml:space="preserve">LICS ’20: Proceedings of the 35th Annual ACM/IEEE Symposium on Logic in Computer Science</w:t>
      </w:r>
      <w:r>
        <w:t xml:space="preserve">,</w:t>
      </w:r>
      <w:r>
        <w:t xml:space="preserve"> </w:t>
      </w:r>
      <w:r>
        <w:t xml:space="preserve">ACM International Conference Proceeding Series,</w:t>
      </w:r>
      <w:r>
        <w:t xml:space="preserve"> </w:t>
      </w:r>
      <w:r>
        <w:t xml:space="preserve">2020,</w:t>
      </w:r>
      <w:r>
        <w:t xml:space="preserve"> </w:t>
      </w:r>
      <w:r>
        <w:t xml:space="preserve">944-957,</w:t>
      </w:r>
      <w:r>
        <w:t xml:space="preserve"> </w:t>
      </w:r>
      <w:r>
        <w:t xml:space="preserve">art. nr. 3394742,</w:t>
      </w:r>
    </w:p>
    <w:bookmarkEnd w:id="26"/>
    <w:bookmarkStart w:id="27" w:name="článok-3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A. Jenčová, G. Jenča: On Monoids in the Category of Sets and Relations,</w:t>
      </w:r>
      <w:r>
        <w:t xml:space="preserve"> </w:t>
      </w:r>
      <w:r>
        <w:rPr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 </w:t>
      </w:r>
      <w:r>
        <w:t xml:space="preserve">(2017),</w:t>
      </w:r>
      <w:r>
        <w:t xml:space="preserve"> </w:t>
      </w:r>
      <w:r>
        <w:t xml:space="preserve">3757-3769,</w:t>
      </w:r>
    </w:p>
    <w:bookmarkEnd w:id="27"/>
    <w:bookmarkStart w:id="28" w:name="citovaný-v-1-2"/>
    <w:p>
      <w:pPr>
        <w:pStyle w:val="Heading4"/>
      </w:pPr>
      <w:r>
        <w:t xml:space="preserve">Citovaný v (1):</w:t>
      </w:r>
    </w:p>
    <w:p>
      <w:pPr>
        <w:numPr>
          <w:ilvl w:val="0"/>
          <w:numId w:val="1005"/>
        </w:numPr>
        <w:pStyle w:val="Compact"/>
      </w:pPr>
      <w:r>
        <w:t xml:space="preserve">J. Lemay: Lifting coalgebra modalities and mell model structure to Eilenberg-Moore categories,</w:t>
      </w:r>
      <w:r>
        <w:t xml:space="preserve"> </w:t>
      </w:r>
      <w:r>
        <w:rPr>
          <w:i/>
        </w:rPr>
        <w:t xml:space="preserve">Logical Methods in Computer Science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 </w:t>
      </w:r>
      <w:r>
        <w:t xml:space="preserve">(2019),</w:t>
      </w:r>
      <w:r>
        <w:t xml:space="preserve"> </w:t>
      </w:r>
      <w:r>
        <w:t xml:space="preserve">8:1-8:50,</w:t>
      </w:r>
    </w:p>
    <w:bookmarkEnd w:id="28"/>
    <w:bookmarkEnd w:id="29"/>
    <w:bookmarkStart w:id="30" w:name="posudok-časopiseckého-článku-wos-scopus"/>
    <w:p>
      <w:pPr>
        <w:pStyle w:val="Heading3"/>
      </w:pPr>
      <w:r>
        <w:t xml:space="preserve">Posudok časopiseckého článku WoS, SCOPUS</w:t>
      </w:r>
    </w:p>
    <w:p>
      <w:pPr>
        <w:numPr>
          <w:ilvl w:val="0"/>
          <w:numId w:val="1006"/>
        </w:numPr>
        <w:pStyle w:val="Compact"/>
      </w:pPr>
      <w:r>
        <w:t xml:space="preserve">Annals of Pure and Applied Logic APAL-D-20-00067</w:t>
      </w:r>
    </w:p>
    <w:p>
      <w:pPr>
        <w:numPr>
          <w:ilvl w:val="0"/>
          <w:numId w:val="1006"/>
        </w:numPr>
        <w:pStyle w:val="Compact"/>
      </w:pPr>
      <w:r>
        <w:t xml:space="preserve">Order ORDE-D-19-00076</w:t>
      </w:r>
    </w:p>
    <w:bookmarkEnd w:id="30"/>
    <w:bookmarkStart w:id="31" w:name="granty"/>
    <w:p>
      <w:pPr>
        <w:pStyle w:val="Heading3"/>
      </w:pPr>
      <w:r>
        <w:t xml:space="preserve">Granty</w:t>
      </w:r>
    </w:p>
    <w:p>
      <w:pPr>
        <w:numPr>
          <w:ilvl w:val="0"/>
          <w:numId w:val="1007"/>
        </w:numPr>
        <w:pStyle w:val="Compact"/>
      </w:pPr>
      <w:r>
        <w:t xml:space="preserve">APVV-16-0073 – fakultným účtovníctvom prešlo 6074.71 EUR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53bf3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2021-01-03T17:34:09Z</dcterms:created>
  <dcterms:modified xsi:type="dcterms:W3CDTF">2021-01-03T17:34:09Z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