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G. Jenča: 0-homogeneous effect algebras,</w:t>
      </w:r>
      <w:r>
        <w:t xml:space="preserve"> </w:t>
      </w:r>
      <w:r>
        <w:rPr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p>
      <w:pPr>
        <w:numPr>
          <w:ilvl w:val="0"/>
          <w:numId w:val="1001"/>
        </w:numPr>
      </w:pPr>
      <w:r>
        <w:t xml:space="preserve">G. Jenča: Sharp and Meager Elements in Orthocomplete Homogeneous Effect Algebras,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 </w:t>
      </w:r>
      <w:r>
        <w:t xml:space="preserve">(2010),</w:t>
      </w:r>
      <w:r>
        <w:t xml:space="preserve"> </w:t>
      </w:r>
      <w:r>
        <w:t xml:space="preserve">41-61,</w:t>
      </w:r>
    </w:p>
    <w:p>
      <w:pPr>
        <w:numPr>
          <w:ilvl w:val="0"/>
          <w:numId w:val="1001"/>
        </w:numPr>
      </w:pPr>
      <w:r>
        <w:t xml:space="preserve">A. Di Nola, M. Holčapek, G. Jenča: The category of MV-pairs,</w:t>
      </w:r>
      <w:r>
        <w:t xml:space="preserve"> </w:t>
      </w:r>
      <w:r>
        <w:rPr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 </w:t>
      </w:r>
      <w:r>
        <w:t xml:space="preserve">(2009),</w:t>
      </w:r>
      <w:r>
        <w:t xml:space="preserve"> </w:t>
      </w:r>
      <w:r>
        <w:t xml:space="preserve">395-412,</w:t>
      </w:r>
    </w:p>
    <w:p>
      <w:pPr>
        <w:numPr>
          <w:ilvl w:val="0"/>
          <w:numId w:val="1001"/>
        </w:numPr>
      </w:pPr>
      <w:r>
        <w:t xml:space="preserve">G. Jenča: Extensions of Witness Mappings,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 </w:t>
      </w:r>
      <w:r>
        <w:t xml:space="preserve">(2012),</w:t>
      </w:r>
      <w:r>
        <w:t xml:space="preserve"> </w:t>
      </w:r>
      <w:r>
        <w:t xml:space="preserve">533-544,</w:t>
      </w:r>
    </w:p>
    <w:p>
      <w:pPr>
        <w:numPr>
          <w:ilvl w:val="0"/>
          <w:numId w:val="1001"/>
        </w:numPr>
      </w:pPr>
      <w:r>
        <w:t xml:space="preserve">G. Jenča: Coexistence in interval effect algebras,</w:t>
      </w:r>
      <w:r>
        <w:t xml:space="preserve"> </w:t>
      </w:r>
      <w:r>
        <w:rPr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(2011),</w:t>
      </w:r>
      <w:r>
        <w:t xml:space="preserve"> </w:t>
      </w:r>
      <w:r>
        <w:t xml:space="preserve">331-344,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53bf3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2021-01-05T20:25:16Z</dcterms:created>
  <dcterms:modified xsi:type="dcterms:W3CDTF">2021-01-05T20:25:16Z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