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rPr/>
      </w:pPr>
      <w:r>
        <w:rPr/>
        <w:t>VOC 2020</w:t>
      </w:r>
    </w:p>
    <w:p>
      <w:pPr>
        <w:pStyle w:val="Nadpis3"/>
        <w:rPr/>
      </w:pPr>
      <w:r>
        <w:rPr/>
        <w:t>Citácie podľa SCI, multidisciplinárne ISI, SCOPUS – len zahraničný autor</w:t>
      </w:r>
    </w:p>
    <w:p>
      <w:pPr>
        <w:pStyle w:val="Nadpis4"/>
        <w:rPr/>
      </w:pPr>
      <w:r>
        <w:rPr/>
        <w:t>Článok:</w:t>
      </w:r>
    </w:p>
    <w:p>
      <w:pPr>
        <w:pStyle w:val="FirstParagraph"/>
        <w:rPr/>
      </w:pPr>
      <w:r>
        <w:rPr/>
        <w:t xml:space="preserve">G. Jenča: Blocks of homogeneous effect algebras, </w:t>
      </w:r>
      <w:r>
        <w:rPr>
          <w:i/>
        </w:rPr>
        <w:t>Bulletin of the Australian Mathematical Society</w:t>
      </w:r>
      <w:r>
        <w:rPr/>
        <w:t xml:space="preserve">, </w:t>
      </w:r>
      <w:r>
        <w:rPr>
          <w:b/>
        </w:rPr>
        <w:t>64</w:t>
      </w:r>
      <w:r>
        <w:rPr/>
        <w:t xml:space="preserve"> (2001), 81-98,</w:t>
      </w:r>
      <w:bookmarkStart w:id="0" w:name="článok"/>
      <w:bookmarkEnd w:id="0"/>
    </w:p>
    <w:p>
      <w:pPr>
        <w:pStyle w:val="Nadpis4"/>
        <w:rPr/>
      </w:pPr>
      <w:r>
        <w:rPr/>
        <w:t>Citovaný v (1):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A. Westerbaan, B. Westerbaan, J. Van De Wetering: A characterisation of ordered abstract probabilities, In: </w:t>
      </w:r>
      <w:r>
        <w:rPr>
          <w:i/>
        </w:rPr>
        <w:t>LICS ’20: Proceedings of the 35th Annual ACM/IEEE Symposium on Logic in Computer Science</w:t>
      </w:r>
      <w:r>
        <w:rPr/>
        <w:t>, ACM International Conference Proceeding Series, 2020, 944-957, art. nr. 3394742,</w:t>
      </w:r>
      <w:bookmarkStart w:id="1" w:name="citovaný-v-1"/>
      <w:bookmarkEnd w:id="1"/>
    </w:p>
    <w:p>
      <w:pPr>
        <w:pStyle w:val="Nadpis4"/>
        <w:rPr/>
      </w:pPr>
      <w:r>
        <w:rPr/>
        <w:t>Článok:</w:t>
      </w:r>
    </w:p>
    <w:p>
      <w:pPr>
        <w:pStyle w:val="FirstParagraph"/>
        <w:rPr/>
      </w:pPr>
      <w:r>
        <w:rPr/>
        <w:t xml:space="preserve">G. Jenča: Effect Algebras are the Eilenberg-Moore Category for the Kalmbach Monad, </w:t>
      </w:r>
      <w:r>
        <w:rPr>
          <w:i/>
        </w:rPr>
        <w:t>Order</w:t>
      </w:r>
      <w:r>
        <w:rPr/>
        <w:t xml:space="preserve">, </w:t>
      </w:r>
      <w:r>
        <w:rPr>
          <w:b/>
        </w:rPr>
        <w:t>32</w:t>
      </w:r>
      <w:r>
        <w:rPr/>
        <w:t xml:space="preserve"> (2015), 439-448,</w:t>
      </w:r>
      <w:bookmarkStart w:id="2" w:name="článok-2"/>
      <w:bookmarkEnd w:id="2"/>
    </w:p>
    <w:p>
      <w:pPr>
        <w:pStyle w:val="Nadpis4"/>
        <w:rPr/>
      </w:pPr>
      <w:r>
        <w:rPr/>
        <w:t>Citovaný v (1):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A. Westerbaan, B. Westerbaan, J. Van De Wetering: A characterisation of ordered abstract probabilities, In: </w:t>
      </w:r>
      <w:r>
        <w:rPr>
          <w:i/>
        </w:rPr>
        <w:t>LICS ’20: Proceedings of the 35th Annual ACM/IEEE Symposium on Logic in Computer Science</w:t>
      </w:r>
      <w:r>
        <w:rPr/>
        <w:t>, ACM International Conference Proceeding Series, 2020, 944-957, art. nr. 3394742,</w:t>
      </w:r>
      <w:bookmarkStart w:id="3" w:name="citovaný-v-1-1"/>
      <w:bookmarkEnd w:id="3"/>
    </w:p>
    <w:p>
      <w:pPr>
        <w:pStyle w:val="Nadpis4"/>
        <w:rPr/>
      </w:pPr>
      <w:r>
        <w:rPr/>
        <w:t>Článok:</w:t>
      </w:r>
    </w:p>
    <w:p>
      <w:pPr>
        <w:pStyle w:val="FirstParagraph"/>
        <w:rPr/>
      </w:pPr>
      <w:r>
        <w:rPr/>
        <w:t xml:space="preserve">A. Jenčová, G. Jenča: On Monoids in the Category of Sets and Relations, </w:t>
      </w:r>
      <w:r>
        <w:rPr>
          <w:i/>
        </w:rPr>
        <w:t>International Journal of Theoretical Physics</w:t>
      </w:r>
      <w:r>
        <w:rPr/>
        <w:t xml:space="preserve">, </w:t>
      </w:r>
      <w:r>
        <w:rPr>
          <w:b/>
        </w:rPr>
        <w:t>56</w:t>
      </w:r>
      <w:r>
        <w:rPr/>
        <w:t xml:space="preserve"> (2017), 3757-3769,</w:t>
      </w:r>
      <w:bookmarkStart w:id="4" w:name="článok-3"/>
      <w:bookmarkEnd w:id="4"/>
    </w:p>
    <w:p>
      <w:pPr>
        <w:pStyle w:val="Nadpis4"/>
        <w:rPr/>
      </w:pPr>
      <w:r>
        <w:rPr/>
        <w:t>Citovaný v (1):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J. Lemay: Lifting coalgebra modalities and mell model structure to Eilenberg-Moore categories, </w:t>
      </w:r>
      <w:r>
        <w:rPr>
          <w:i/>
        </w:rPr>
        <w:t>Logical Methods in Computer Science</w:t>
      </w:r>
      <w:r>
        <w:rPr/>
        <w:t xml:space="preserve">, </w:t>
      </w:r>
      <w:r>
        <w:rPr>
          <w:b/>
        </w:rPr>
        <w:t>15</w:t>
      </w:r>
      <w:r>
        <w:rPr/>
        <w:t xml:space="preserve"> (2019), 8:1-8:50,</w:t>
      </w:r>
      <w:bookmarkStart w:id="5" w:name="Xed9280aa33cfd94e5e694f1301ede79bd055341"/>
      <w:bookmarkStart w:id="6" w:name="citovaný-v-1-2"/>
      <w:bookmarkEnd w:id="5"/>
      <w:bookmarkEnd w:id="6"/>
    </w:p>
    <w:p>
      <w:pPr>
        <w:pStyle w:val="Nadpis3"/>
        <w:rPr/>
      </w:pPr>
      <w:r>
        <w:rPr/>
        <w:t>Posudok časopiseckého článku WoS, SCOPUS</w:t>
      </w:r>
    </w:p>
    <w:p>
      <w:pPr>
        <w:pStyle w:val="Compact"/>
        <w:numPr>
          <w:ilvl w:val="0"/>
          <w:numId w:val="10"/>
        </w:numPr>
        <w:rPr/>
      </w:pPr>
      <w:r>
        <w:rPr/>
        <w:t>Annals of Pure and Applied Logic APAL-D-20-00067</w:t>
      </w:r>
    </w:p>
    <w:p>
      <w:pPr>
        <w:pStyle w:val="Compact"/>
        <w:numPr>
          <w:ilvl w:val="0"/>
          <w:numId w:val="11"/>
        </w:numPr>
        <w:spacing w:before="36" w:after="36"/>
        <w:rPr/>
      </w:pPr>
      <w:r>
        <w:rPr/>
        <w:t>Order ORDE-D-19-00076</w:t>
      </w:r>
    </w:p>
    <w:p>
      <w:pPr>
        <w:pStyle w:val="Nadpis3"/>
        <w:rPr/>
      </w:pPr>
      <w:r>
        <w:rPr/>
        <w:t>Granty</w:t>
      </w:r>
    </w:p>
    <w:p>
      <w:pPr>
        <w:pStyle w:val="Compact"/>
        <w:numPr>
          <w:ilvl w:val="0"/>
          <w:numId w:val="12"/>
        </w:numPr>
        <w:spacing w:before="36" w:after="36"/>
        <w:rPr/>
      </w:pPr>
      <w:r>
        <w:rPr/>
        <w:t>APVV-16-0073 – fakultným účtovníctvom prešlo 6074.71 EUR</w:t>
      </w:r>
    </w:p>
    <w:p>
      <w:pPr>
        <w:pStyle w:val="Compact"/>
        <w:spacing w:before="36" w:after="36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2.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3.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4.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5.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6.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7.%8.%9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2.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3.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4.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5.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6.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7.%8.%9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2.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3.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4.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5.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6.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7.%8.%9"/>
      <w:lvlJc w:val="left"/>
      <w:pPr>
        <w:tabs>
          <w:tab w:val="num" w:pos="5760"/>
        </w:tabs>
        <w:ind w:left="6240" w:hanging="4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2.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3.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4.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5.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6.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7.%8.%9"/>
      <w:lvlJc w:val="left"/>
      <w:pPr>
        <w:tabs>
          <w:tab w:val="num" w:pos="5760"/>
        </w:tabs>
        <w:ind w:left="6240" w:hanging="4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8.%9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20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Tahoma"/>
      <w:b/>
      <w:bCs/>
      <w:color w:val="4F81BD"/>
      <w:sz w:val="32"/>
      <w:szCs w:val="32"/>
    </w:rPr>
  </w:style>
  <w:style w:type="paragraph" w:styleId="Nadpis2">
    <w:name w:val="Heading 2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Tahoma"/>
      <w:b/>
      <w:bCs/>
      <w:color w:val="4F81BD"/>
      <w:sz w:val="28"/>
      <w:szCs w:val="28"/>
    </w:rPr>
  </w:style>
  <w:style w:type="paragraph" w:styleId="Nadpis3">
    <w:name w:val="Heading 3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Tahoma"/>
      <w:b/>
      <w:bCs/>
      <w:color w:val="4F81BD"/>
      <w:sz w:val="24"/>
      <w:szCs w:val="24"/>
    </w:rPr>
  </w:style>
  <w:style w:type="paragraph" w:styleId="Nadpis4">
    <w:name w:val="Heading 4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Tahoma"/>
      <w:bCs/>
      <w:i/>
      <w:color w:val="4F81BD"/>
      <w:sz w:val="24"/>
      <w:szCs w:val="24"/>
    </w:rPr>
  </w:style>
  <w:style w:type="paragraph" w:styleId="Nadpis5">
    <w:name w:val="Heading 5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Tahoma"/>
      <w:iCs/>
      <w:color w:val="4F81BD"/>
      <w:sz w:val="24"/>
      <w:szCs w:val="24"/>
    </w:rPr>
  </w:style>
  <w:style w:type="paragraph" w:styleId="Nadpis6">
    <w:name w:val="Heading 6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Tahoma"/>
      <w:color w:val="4F81BD"/>
      <w:sz w:val="24"/>
      <w:szCs w:val="24"/>
    </w:rPr>
  </w:style>
  <w:style w:type="paragraph" w:styleId="Nadpis7">
    <w:name w:val="Heading 7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Tahoma"/>
      <w:color w:val="4F81BD"/>
      <w:sz w:val="24"/>
      <w:szCs w:val="24"/>
    </w:rPr>
  </w:style>
  <w:style w:type="paragraph" w:styleId="Nadpis8">
    <w:name w:val="Heading 8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Tahoma"/>
      <w:color w:val="4F81BD"/>
      <w:sz w:val="24"/>
      <w:szCs w:val="24"/>
    </w:rPr>
  </w:style>
  <w:style w:type="paragraph" w:styleId="Nadpis9">
    <w:name w:val="Heading 9"/>
    <w:basedOn w:val="Normal"/>
    <w:next w:val="Telotextu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Ukotveniepoznmkypodiarou">
    <w:name w:val="Ukotvenie poznámky pod čiarou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ovodkaz">
    <w:name w:val="Internetový odkaz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character" w:styleId="Symbolypreslovanie">
    <w:name w:val="Symboly pre číslovanie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textu">
    <w:name w:val="Body Text"/>
    <w:basedOn w:val="Normal"/>
    <w:pPr>
      <w:spacing w:before="180" w:after="180"/>
    </w:pPr>
    <w:rPr/>
  </w:style>
  <w:style w:type="paragraph" w:styleId="Zoznam">
    <w:name w:val="List"/>
    <w:basedOn w:val="Telotextu"/>
    <w:pPr/>
    <w:rPr>
      <w:rFonts w:cs="Mangal"/>
    </w:rPr>
  </w:style>
  <w:style w:type="paragraph" w:styleId="Popis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>
    <w:name w:val="First Paragraph"/>
    <w:basedOn w:val="Telotextu"/>
    <w:next w:val="Telotextu"/>
    <w:qFormat/>
    <w:pPr/>
    <w:rPr/>
  </w:style>
  <w:style w:type="paragraph" w:styleId="Compact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val="345A8A"/>
      <w:sz w:val="36"/>
      <w:szCs w:val="36"/>
    </w:rPr>
  </w:style>
  <w:style w:type="paragraph" w:styleId="Podnadpis">
    <w:name w:val="Subtitle"/>
    <w:basedOn w:val="Nzov"/>
    <w:next w:val="Telotex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lotextu"/>
    <w:qFormat/>
    <w:pPr>
      <w:keepNext w:val="true"/>
      <w:keepLines/>
      <w:widowControl/>
      <w:suppressAutoHyphens w:val="true"/>
      <w:kinsoku w:val="true"/>
      <w:overflowPunct w:val="false"/>
      <w:autoSpaceDE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 w:val="true"/>
      <w:keepLines/>
      <w:widowControl/>
      <w:suppressAutoHyphens w:val="true"/>
      <w:kinsoku w:val="true"/>
      <w:overflowPunct w:val="false"/>
      <w:autoSpaceDE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lotex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qFormat/>
    <w:pPr>
      <w:spacing w:before="100" w:after="100"/>
      <w:ind w:left="480" w:right="480" w:hanging="0"/>
    </w:pPr>
    <w:rPr/>
  </w:style>
  <w:style w:type="paragraph" w:styleId="Poznmkapodiarou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Popis"/>
    <w:qFormat/>
    <w:pPr>
      <w:keepNext w:val="true"/>
    </w:pPr>
    <w:rPr/>
  </w:style>
  <w:style w:type="paragraph" w:styleId="ImageCaption">
    <w:name w:val="Image Caption"/>
    <w:basedOn w:val="Popis"/>
    <w:qFormat/>
    <w:pPr/>
    <w:rPr/>
  </w:style>
  <w:style w:type="paragraph" w:styleId="Obrzok">
    <w:name w:val="Obrázok"/>
    <w:basedOn w:val="Normal"/>
    <w:qFormat/>
    <w:pPr/>
    <w:rPr/>
  </w:style>
  <w:style w:type="paragraph" w:styleId="CaptionedFigure">
    <w:name w:val="Captioned Figure"/>
    <w:basedOn w:val="Obrzok"/>
    <w:qFormat/>
    <w:pPr>
      <w:keepNext w:val="true"/>
    </w:pPr>
    <w:rPr/>
  </w:style>
  <w:style w:type="paragraph" w:styleId="TOCHeading">
    <w:name w:val="TOC Heading"/>
    <w:basedOn w:val="Nadpis1"/>
    <w:next w:val="Telotextu"/>
    <w:qFormat/>
    <w:pPr>
      <w:spacing w:lineRule="auto" w:line="259" w:before="240" w:after="0"/>
    </w:pPr>
    <w:rPr>
      <w:rFonts w:ascii="Calibri" w:hAnsi="Calibri" w:eastAsia="Cambria" w:cs="Tahoma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1</Pages>
  <Words>201</Words>
  <Characters>1216</Characters>
  <CharactersWithSpaces>1394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2021-01-03T16:48:28Z</dcterms:created>
  <dc:creator/>
  <dc:description/>
  <dc:language>sk-SK</dc:language>
  <cp:lastModifiedBy/>
  <dcterms:modified xsi:type="dcterms:W3CDTF">2021-01-03T18:36:55Z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