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  <w:spacing w:after="240" w:before="480"/>
        <w:contextualSpacing w:val="false"/>
      </w:pPr>
      <w:r>
        <w:rPr/>
        <w:t>APVV-0071-06 za rok 2012</w:t>
      </w:r>
    </w:p>
    <w:p>
      <w:pPr>
        <w:pStyle w:val="style40"/>
      </w:pPr>
      <w:r>
        <w:rPr/>
        <w:t>Gejza Jenča</w:t>
      </w:r>
    </w:p>
    <w:p>
      <w:pPr>
        <w:pStyle w:val="style35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u w:val="single"/>
        </w:rPr>
        <w:t>Published papers</w:t>
      </w:r>
    </w:p>
    <w:p>
      <w:pPr>
        <w:pStyle w:val="style35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 xml:space="preserve">Jenča, G. </w:t>
      </w:r>
      <w:r>
        <w:rPr>
          <w:i/>
        </w:rPr>
        <w:t>Extensions of Witness Mappings</w:t>
      </w:r>
      <w:r>
        <w:rPr/>
        <w:t xml:space="preserve">, Order, </w:t>
      </w:r>
      <w:r>
        <w:rPr>
          <w:b/>
        </w:rPr>
        <w:t>29</w:t>
      </w:r>
      <w:r>
        <w:rPr/>
        <w:t xml:space="preserve"> (2012) 533-544</w:t>
      </w:r>
    </w:p>
    <w:p>
      <w:pPr>
        <w:pStyle w:val="style3"/>
        <w:numPr>
          <w:ilvl w:val="2"/>
          <w:numId w:val="1"/>
        </w:numPr>
      </w:pPr>
      <w:r>
        <w:rPr>
          <w:u w:val="single"/>
        </w:rPr>
        <w:t>Citations</w:t>
      </w:r>
    </w:p>
    <w:p>
      <w:pPr>
        <w:pStyle w:val="style3"/>
        <w:numPr>
          <w:ilvl w:val="2"/>
          <w:numId w:val="1"/>
        </w:numPr>
      </w:pPr>
      <w:bookmarkStart w:id="0" w:name="paper"/>
      <w:bookmarkEnd w:id="0"/>
      <w:r>
        <w:rPr/>
        <w:t>Paper:</w:t>
      </w:r>
    </w:p>
    <w:p>
      <w:pPr>
        <w:pStyle w:val="style0"/>
      </w:pPr>
      <w:bookmarkStart w:id="1" w:name="paper"/>
      <w:bookmarkEnd w:id="1"/>
      <w:r>
        <w:rPr/>
        <w:t xml:space="preserve">A. Di Nola, M. Holčapek, G. Jenča: </w:t>
      </w:r>
      <w:r>
        <w:rPr>
          <w:i/>
        </w:rPr>
        <w:t>The category of MV-pairs</w:t>
      </w:r>
      <w:r>
        <w:rPr/>
        <w:t xml:space="preserve">, Logic Journal of the IGPL, </w:t>
      </w:r>
      <w:r>
        <w:rPr>
          <w:b/>
        </w:rPr>
        <w:t>17</w:t>
      </w:r>
      <w:r>
        <w:rPr/>
        <w:t xml:space="preserve"> (2009) 395-412</w:t>
      </w:r>
    </w:p>
    <w:p>
      <w:pPr>
        <w:pStyle w:val="style3"/>
        <w:numPr>
          <w:ilvl w:val="2"/>
          <w:numId w:val="1"/>
        </w:numPr>
      </w:pPr>
      <w:bookmarkStart w:id="2" w:name="cited-in"/>
      <w:bookmarkEnd w:id="2"/>
      <w:r>
        <w:rPr/>
        <w:t>Cited in:</w:t>
      </w:r>
    </w:p>
    <w:p>
      <w:pPr>
        <w:pStyle w:val="style0"/>
        <w:numPr>
          <w:ilvl w:val="0"/>
          <w:numId w:val="2"/>
        </w:numPr>
      </w:pPr>
      <w:bookmarkStart w:id="3" w:name="cited-in"/>
      <w:bookmarkEnd w:id="3"/>
      <w:r>
        <w:rPr/>
        <w:t xml:space="preserve">H. De La Vega: </w:t>
      </w:r>
      <w:r>
        <w:rPr>
          <w:i/>
        </w:rPr>
        <w:t>Normal and complete Boolean ambiguity algebras and MV-pairs</w:t>
      </w:r>
      <w:r>
        <w:rPr/>
        <w:t xml:space="preserve">, Logic Journal of the IGPL, </w:t>
      </w:r>
      <w:r>
        <w:rPr>
          <w:b/>
        </w:rPr>
        <w:t>20</w:t>
      </w:r>
      <w:r>
        <w:rPr/>
        <w:t xml:space="preserve"> (2012) 1133-1152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" w:name="paper-1"/>
      <w:bookmarkEnd w:id="4"/>
      <w:r>
        <w:rPr/>
        <w:t>Paper:</w:t>
      </w:r>
    </w:p>
    <w:p>
      <w:pPr>
        <w:pStyle w:val="style0"/>
      </w:pPr>
      <w:bookmarkStart w:id="5" w:name="paper-1"/>
      <w:bookmarkEnd w:id="5"/>
      <w:r>
        <w:rPr/>
        <w:t xml:space="preserve">G. Jenča: </w:t>
      </w:r>
      <w:r>
        <w:rPr>
          <w:i/>
        </w:rPr>
        <w:t>Sharp and Meager Elements in Orthocomplete Homogeneous Effect Algebras</w:t>
      </w:r>
      <w:r>
        <w:rPr/>
        <w:t xml:space="preserve">, Order, </w:t>
      </w:r>
      <w:r>
        <w:rPr>
          <w:b/>
        </w:rPr>
        <w:t>27</w:t>
      </w:r>
      <w:r>
        <w:rPr/>
        <w:t xml:space="preserve"> (2010) 41-61</w:t>
      </w:r>
    </w:p>
    <w:p>
      <w:pPr>
        <w:pStyle w:val="style3"/>
        <w:numPr>
          <w:ilvl w:val="2"/>
          <w:numId w:val="1"/>
        </w:numPr>
      </w:pPr>
      <w:bookmarkStart w:id="6" w:name="cited-in-1"/>
      <w:bookmarkEnd w:id="6"/>
      <w:r>
        <w:rPr/>
        <w:t>Cited in:</w:t>
      </w:r>
    </w:p>
    <w:p>
      <w:pPr>
        <w:pStyle w:val="style0"/>
        <w:numPr>
          <w:ilvl w:val="0"/>
          <w:numId w:val="3"/>
        </w:numPr>
      </w:pPr>
      <w:bookmarkStart w:id="7" w:name="cited-in-1"/>
      <w:bookmarkEnd w:id="7"/>
      <w:r>
        <w:rPr/>
        <w:t xml:space="preserve">J. Niederle, J. Paseka: </w:t>
      </w:r>
      <w:r>
        <w:rPr>
          <w:i/>
        </w:rPr>
        <w:t>Triple Representation Theorem for homogeneous effect algebras</w:t>
      </w:r>
      <w:r>
        <w:rPr/>
        <w:t>, International Symposium on Multiple-Valued Logic,  (2012) 337-342</w:t>
      </w:r>
    </w:p>
    <w:p>
      <w:pPr>
        <w:pStyle w:val="style0"/>
        <w:numPr>
          <w:ilvl w:val="0"/>
          <w:numId w:val="3"/>
        </w:numPr>
      </w:pPr>
      <w:r>
        <w:rPr/>
        <w:t xml:space="preserve">J. Paseka, J. Niederle: </w:t>
      </w:r>
      <w:r>
        <w:rPr>
          <w:i/>
        </w:rPr>
        <w:t>More about sharp and meager elements in Archimedean atomic lattice effect algebras</w:t>
      </w:r>
      <w:r>
        <w:rPr/>
        <w:t xml:space="preserve">, Soft Computing, </w:t>
      </w:r>
      <w:r>
        <w:rPr>
          <w:b/>
        </w:rPr>
        <w:t>16</w:t>
      </w:r>
      <w:r>
        <w:rPr/>
        <w:t xml:space="preserve"> (2012) 109-119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roid Sans Fallback" w:hAnsi="Cambria"/>
      <w:color w:val="auto"/>
      <w:sz w:val="24"/>
      <w:szCs w:val="24"/>
      <w:lang w:bidi="ar-SA" w:eastAsia="en-US" w:val="en-US"/>
    </w:rPr>
  </w:style>
  <w:style w:styleId="style1" w:type="paragraph">
    <w:name w:val="Nadpis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Nadpis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Nadpis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Nadpis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Nadpis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Ukotvenie poznámky pod čiarou"/>
    <w:basedOn w:val="style16"/>
    <w:next w:val="style18"/>
    <w:rPr>
      <w:vertAlign w:val="superscript"/>
    </w:rPr>
  </w:style>
  <w:style w:styleId="style19" w:type="character">
    <w:name w:val="Internetový odkaz"/>
    <w:basedOn w:val="style16"/>
    <w:next w:val="style19"/>
    <w:rPr>
      <w:color w:val="4F81BD"/>
      <w:u w:val="single"/>
      <w:lang w:bidi="sk-SK" w:eastAsia="sk-SK" w:val="sk-SK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Nadpis"/>
    <w:basedOn w:val="style0"/>
    <w:next w:val="style35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35" w:type="paragraph">
    <w:name w:val="Telo textu"/>
    <w:basedOn w:val="style0"/>
    <w:next w:val="style35"/>
    <w:pPr>
      <w:spacing w:after="120" w:before="0"/>
      <w:contextualSpacing w:val="false"/>
    </w:pPr>
    <w:rPr/>
  </w:style>
  <w:style w:styleId="style36" w:type="paragraph">
    <w:name w:val="Zoznam"/>
    <w:basedOn w:val="style35"/>
    <w:next w:val="style36"/>
    <w:pPr/>
    <w:rPr>
      <w:rFonts w:cs="DejaVu Sans"/>
    </w:rPr>
  </w:style>
  <w:style w:styleId="style37" w:type="paragraph">
    <w:name w:val="Popis"/>
    <w:basedOn w:val="style0"/>
    <w:next w:val="style37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DejaVu Sans"/>
    </w:rPr>
  </w:style>
  <w:style w:styleId="style39" w:type="paragraph">
    <w:name w:val="Názov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Podnázov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roid Sans Fallback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roid Sans Fallback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Bibliografia</dc:title>
</cp:coreProperties>
</file>