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0" w:before="200"/>
      </w:pPr>
      <w:r>
        <w:rPr>
          <w:rFonts w:ascii="Times New Roman" w:hAnsi="Times New Roman"/>
          <w:color w:val="000000"/>
        </w:rPr>
        <w:t>Vyjdené články</w:t>
      </w:r>
    </w:p>
    <w:p>
      <w:pPr>
        <w:pStyle w:val="style39"/>
      </w:pPr>
      <w:r>
        <w:rPr/>
      </w:r>
    </w:p>
    <w:p>
      <w:pPr>
        <w:pStyle w:val="style0"/>
        <w:numPr>
          <w:ilvl w:val="0"/>
          <w:numId w:val="3"/>
        </w:numPr>
      </w:pPr>
      <w:r>
        <w:rPr>
          <w:rFonts w:ascii="Times New Roman" w:hAnsi="Times New Roman"/>
          <w:color w:val="000000"/>
        </w:rPr>
        <w:t xml:space="preserve">G. Jenča: </w:t>
      </w:r>
      <w:r>
        <w:rPr>
          <w:rFonts w:ascii="Times New Roman" w:hAnsi="Times New Roman"/>
          <w:i/>
          <w:color w:val="000000"/>
        </w:rPr>
        <w:t>Compatibility support mappings in effect algebras</w:t>
      </w:r>
      <w:r>
        <w:rPr>
          <w:rFonts w:ascii="Times New Roman" w:hAnsi="Times New Roman"/>
          <w:color w:val="000000"/>
        </w:rPr>
        <w:t xml:space="preserve">, Mathematica Slovaca, </w:t>
      </w:r>
      <w:r>
        <w:rPr>
          <w:rFonts w:ascii="Times New Roman" w:hAnsi="Times New Roman"/>
          <w:b/>
          <w:color w:val="000000"/>
        </w:rPr>
        <w:t>62</w:t>
      </w:r>
      <w:r>
        <w:rPr>
          <w:rFonts w:ascii="Times New Roman" w:hAnsi="Times New Roman"/>
          <w:color w:val="000000"/>
        </w:rPr>
        <w:t xml:space="preserve"> (2012) 363-378 </w:t>
      </w:r>
      <w:hyperlink r:id="rId2">
        <w:r>
          <w:rPr>
            <w:rStyle w:val="style19"/>
            <w:rStyle w:val="style19"/>
            <w:rFonts w:ascii="Times New Roman" w:hAnsi="Times New Roman"/>
            <w:color w:val="000000"/>
          </w:rPr>
          <w:t>arXiv:0910.2825</w:t>
        </w:r>
      </w:hyperlink>
    </w:p>
    <w:p>
      <w:pPr>
        <w:pStyle w:val="style0"/>
        <w:numPr>
          <w:ilvl w:val="0"/>
          <w:numId w:val="3"/>
        </w:numPr>
      </w:pPr>
      <w:r>
        <w:rPr>
          <w:rFonts w:ascii="Times New Roman" w:hAnsi="Times New Roman"/>
          <w:color w:val="000000"/>
        </w:rPr>
        <w:t xml:space="preserve">G. Jenča: </w:t>
      </w:r>
      <w:r>
        <w:rPr>
          <w:rFonts w:ascii="Times New Roman" w:hAnsi="Times New Roman"/>
          <w:i/>
          <w:color w:val="000000"/>
        </w:rPr>
        <w:t>Congruences generated by ideals of the compatibility center of lattice effect algebras</w:t>
      </w:r>
      <w:r>
        <w:rPr>
          <w:rFonts w:ascii="Times New Roman" w:hAnsi="Times New Roman"/>
          <w:color w:val="000000"/>
        </w:rPr>
        <w:t xml:space="preserve">, Soft Computing, </w:t>
      </w:r>
      <w:r>
        <w:rPr>
          <w:rFonts w:ascii="Times New Roman" w:hAnsi="Times New Roman"/>
          <w:b/>
          <w:color w:val="000000"/>
        </w:rPr>
        <w:t>17</w:t>
      </w:r>
      <w:r>
        <w:rPr>
          <w:rFonts w:ascii="Times New Roman" w:hAnsi="Times New Roman"/>
          <w:color w:val="000000"/>
        </w:rPr>
        <w:t xml:space="preserve"> (2013) 45-47</w:t>
      </w:r>
    </w:p>
    <w:p>
      <w:pPr>
        <w:pStyle w:val="style2"/>
        <w:numPr>
          <w:ilvl w:val="1"/>
          <w:numId w:val="2"/>
        </w:numPr>
      </w:pPr>
      <w:r>
        <w:rPr>
          <w:rFonts w:ascii="Times New Roman" w:hAnsi="Times New Roman"/>
          <w:color w:val="000000"/>
        </w:rPr>
        <w:t>Zaslané články</w:t>
      </w:r>
    </w:p>
    <w:p>
      <w:pPr>
        <w:pStyle w:val="style39"/>
      </w:pPr>
      <w:r>
        <w:rPr/>
      </w:r>
    </w:p>
    <w:p>
      <w:pPr>
        <w:pStyle w:val="style39"/>
      </w:pPr>
      <w:r>
        <w:rPr>
          <w:rFonts w:ascii="Times New Roman" w:hAnsi="Times New Roman"/>
          <w:color w:val="000000"/>
        </w:rPr>
        <w:t xml:space="preserve">Gejza Jenča, Peter Sarkoci: </w:t>
      </w:r>
      <w:r>
        <w:rPr>
          <w:rStyle w:val="style34"/>
          <w:rFonts w:ascii="Times New Roman" w:hAnsi="Times New Roman"/>
          <w:color w:val="000000"/>
        </w:rPr>
        <w:t>Linear extensions and order-preserving poset partitions</w:t>
      </w:r>
      <w:r>
        <w:rPr>
          <w:rFonts w:ascii="Times New Roman" w:hAnsi="Times New Roman"/>
          <w:color w:val="000000"/>
        </w:rPr>
        <w:t xml:space="preserve">, </w:t>
      </w:r>
      <w:hyperlink r:id="rId3">
        <w:r>
          <w:rPr>
            <w:rStyle w:val="style19"/>
            <w:rStyle w:val="style19"/>
            <w:rFonts w:ascii="Times New Roman" w:hAnsi="Times New Roman"/>
            <w:color w:val="000000"/>
          </w:rPr>
          <w:t>http://arxiv.org/abs/1112.5782</w:t>
        </w:r>
      </w:hyperlink>
    </w:p>
    <w:p>
      <w:pPr>
        <w:pStyle w:val="style39"/>
      </w:pPr>
      <w:r>
        <w:rPr/>
      </w:r>
    </w:p>
    <w:p>
      <w:pPr>
        <w:pStyle w:val="style2"/>
        <w:numPr>
          <w:ilvl w:val="1"/>
          <w:numId w:val="2"/>
        </w:numPr>
      </w:pPr>
      <w:r>
        <w:rPr>
          <w:rFonts w:ascii="Times New Roman" w:hAnsi="Times New Roman"/>
          <w:color w:val="000000"/>
        </w:rPr>
        <w:t>Zmeny v cestovných výdavkoch</w:t>
      </w:r>
    </w:p>
    <w:p>
      <w:pPr>
        <w:pStyle w:val="style39"/>
      </w:pPr>
      <w:r>
        <w:rPr/>
      </w:r>
    </w:p>
    <w:p>
      <w:pPr>
        <w:pStyle w:val="style39"/>
      </w:pPr>
      <w:r>
        <w:rPr>
          <w:rFonts w:ascii="Times New Roman" w:hAnsi="Times New Roman"/>
          <w:color w:val="000000"/>
        </w:rPr>
        <w:t>Prosím pridať dve konferencie, na ktoré možno pôjdem, ostatné nechať tak ako je.</w:t>
      </w:r>
    </w:p>
    <w:p>
      <w:pPr>
        <w:pStyle w:val="style39"/>
      </w:pPr>
      <w:hyperlink r:id="rId4">
        <w:r>
          <w:rPr/>
        </w:r>
      </w:hyperlink>
    </w:p>
    <w:p>
      <w:pPr>
        <w:pStyle w:val="style39"/>
        <w:numPr>
          <w:ilvl w:val="0"/>
          <w:numId w:val="4"/>
        </w:numPr>
      </w:pPr>
      <w:r>
        <w:rPr>
          <w:rFonts w:ascii="Times New Roman" w:hAnsi="Times New Roman"/>
          <w:color w:val="000000"/>
        </w:rPr>
        <w:t>24th British Combinatorial Conference</w:t>
      </w:r>
    </w:p>
    <w:p>
      <w:pPr>
        <w:pStyle w:val="style39"/>
        <w:numPr>
          <w:ilvl w:val="0"/>
          <w:numId w:val="4"/>
        </w:numPr>
      </w:pPr>
      <w:r>
        <w:rPr>
          <w:rFonts w:ascii="Times New Roman" w:hAnsi="Times New Roman"/>
          <w:color w:val="000000"/>
        </w:rPr>
        <w:t>Erdős Centennial</w:t>
      </w:r>
    </w:p>
    <w:p>
      <w:pPr>
        <w:pStyle w:val="style39"/>
        <w:spacing w:after="120" w:before="0"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Východzie"/>
    <w:next w:val="style0"/>
    <w:pPr>
      <w:widowControl/>
      <w:tabs>
        <w:tab w:leader="none" w:pos="720" w:val="left"/>
      </w:tabs>
      <w:suppressAutoHyphens w:val="true"/>
      <w:spacing w:after="200" w:before="0"/>
    </w:pPr>
    <w:rPr>
      <w:rFonts w:ascii="Cambria" w:cs="" w:eastAsia="Droid Sans Fallback" w:hAnsi="Cambria"/>
      <w:color w:val="00000A"/>
      <w:sz w:val="24"/>
      <w:szCs w:val="24"/>
      <w:lang w:bidi="ar-SA" w:eastAsia="en-US" w:val="en-US"/>
    </w:rPr>
  </w:style>
  <w:style w:styleId="style1" w:type="paragraph">
    <w:name w:val="Nadpis 1"/>
    <w:basedOn w:val="style0"/>
    <w:next w:val="style39"/>
    <w:pPr>
      <w:keepNext/>
      <w:keepLines/>
      <w:numPr>
        <w:ilvl w:val="0"/>
        <w:numId w:val="1"/>
      </w:numPr>
      <w:spacing w:after="0" w:before="480"/>
      <w:outlineLvl w:val="0"/>
    </w:pPr>
    <w:rPr>
      <w:rFonts w:ascii="Calibri" w:cs="" w:hAnsi="Calibri"/>
      <w:b/>
      <w:bCs/>
      <w:color w:val="345A8A"/>
      <w:sz w:val="36"/>
      <w:szCs w:val="36"/>
    </w:rPr>
  </w:style>
  <w:style w:styleId="style2" w:type="paragraph">
    <w:name w:val="Nadpis 2"/>
    <w:basedOn w:val="style0"/>
    <w:next w:val="style39"/>
    <w:pPr>
      <w:keepNext/>
      <w:keepLines/>
      <w:numPr>
        <w:ilvl w:val="1"/>
        <w:numId w:val="1"/>
      </w:numPr>
      <w:spacing w:after="0" w:before="200"/>
      <w:outlineLvl w:val="1"/>
    </w:pPr>
    <w:rPr>
      <w:rFonts w:ascii="Calibri" w:cs="" w:hAnsi="Calibri"/>
      <w:b/>
      <w:bCs/>
      <w:i/>
      <w:iCs/>
      <w:color w:val="4F81BD"/>
      <w:sz w:val="32"/>
      <w:szCs w:val="32"/>
    </w:rPr>
  </w:style>
  <w:style w:styleId="style3" w:type="paragraph">
    <w:name w:val="Nadpis 3"/>
    <w:basedOn w:val="style0"/>
    <w:next w:val="style39"/>
    <w:pPr>
      <w:keepNext/>
      <w:keepLines/>
      <w:numPr>
        <w:ilvl w:val="2"/>
        <w:numId w:val="1"/>
      </w:numPr>
      <w:spacing w:after="0" w:before="200"/>
      <w:outlineLvl w:val="2"/>
    </w:pPr>
    <w:rPr>
      <w:rFonts w:ascii="Calibri" w:cs="" w:hAnsi="Calibri"/>
      <w:b/>
      <w:bCs/>
      <w:color w:val="4F81BD"/>
      <w:sz w:val="28"/>
      <w:szCs w:val="28"/>
    </w:rPr>
  </w:style>
  <w:style w:styleId="style4" w:type="paragraph">
    <w:name w:val="Nadpis 4"/>
    <w:basedOn w:val="style0"/>
    <w:next w:val="style39"/>
    <w:pPr>
      <w:keepNext/>
      <w:keepLines/>
      <w:numPr>
        <w:ilvl w:val="3"/>
        <w:numId w:val="1"/>
      </w:numPr>
      <w:spacing w:after="0" w:before="200"/>
      <w:outlineLvl w:val="3"/>
    </w:pPr>
    <w:rPr>
      <w:rFonts w:ascii="Calibri" w:cs="" w:hAnsi="Calibri"/>
      <w:b/>
      <w:bCs/>
      <w:i/>
      <w:iCs/>
      <w:color w:val="4F81BD"/>
      <w:sz w:val="24"/>
      <w:szCs w:val="24"/>
    </w:rPr>
  </w:style>
  <w:style w:styleId="style5" w:type="paragraph">
    <w:name w:val="Nadpis 5"/>
    <w:basedOn w:val="style0"/>
    <w:next w:val="style39"/>
    <w:pPr>
      <w:keepNext/>
      <w:keepLines/>
      <w:numPr>
        <w:ilvl w:val="4"/>
        <w:numId w:val="1"/>
      </w:numPr>
      <w:spacing w:after="0" w:before="200"/>
      <w:outlineLvl w:val="4"/>
    </w:pPr>
    <w:rPr>
      <w:rFonts w:ascii="Calibri" w:cs="" w:hAnsi="Calibri"/>
      <w:b/>
      <w:bCs/>
      <w:i/>
      <w:iCs/>
      <w:color w:val="4F81BD"/>
      <w:sz w:val="24"/>
      <w:szCs w:val="24"/>
    </w:rPr>
  </w:style>
  <w:style w:styleId="style15" w:type="character">
    <w:name w:val="Default Paragraph Font"/>
    <w:next w:val="style15"/>
    <w:rPr/>
  </w:style>
  <w:style w:styleId="style16" w:type="character">
    <w:name w:val="Body Text Char"/>
    <w:basedOn w:val="style15"/>
    <w:next w:val="style16"/>
    <w:rPr/>
  </w:style>
  <w:style w:styleId="style17" w:type="character">
    <w:name w:val="Verbatim Char"/>
    <w:basedOn w:val="style16"/>
    <w:next w:val="style17"/>
    <w:rPr>
      <w:rFonts w:ascii="Consolas" w:hAnsi="Consolas"/>
      <w:sz w:val="22"/>
    </w:rPr>
  </w:style>
  <w:style w:styleId="style18" w:type="character">
    <w:name w:val="Ukotvenie poznámky pod čiarou"/>
    <w:basedOn w:val="style16"/>
    <w:next w:val="style18"/>
    <w:rPr>
      <w:vertAlign w:val="superscript"/>
    </w:rPr>
  </w:style>
  <w:style w:styleId="style19" w:type="character">
    <w:name w:val="Internetový odkaz"/>
    <w:basedOn w:val="style16"/>
    <w:next w:val="style19"/>
    <w:rPr>
      <w:color w:val="4F81BD"/>
      <w:u w:val="single"/>
      <w:lang w:bidi="sk-SK" w:eastAsia="sk-SK" w:val="sk-SK"/>
    </w:rPr>
  </w:style>
  <w:style w:styleId="style20" w:type="character">
    <w:name w:val="KeywordTok"/>
    <w:basedOn w:val="style17"/>
    <w:next w:val="style20"/>
    <w:rPr>
      <w:b/>
      <w:color w:val="007020"/>
    </w:rPr>
  </w:style>
  <w:style w:styleId="style21" w:type="character">
    <w:name w:val="DataTypeTok"/>
    <w:basedOn w:val="style17"/>
    <w:next w:val="style21"/>
    <w:rPr>
      <w:color w:val="902000"/>
    </w:rPr>
  </w:style>
  <w:style w:styleId="style22" w:type="character">
    <w:name w:val="DecValTok"/>
    <w:basedOn w:val="style17"/>
    <w:next w:val="style22"/>
    <w:rPr>
      <w:color w:val="40A070"/>
    </w:rPr>
  </w:style>
  <w:style w:styleId="style23" w:type="character">
    <w:name w:val="BaseNTok"/>
    <w:basedOn w:val="style17"/>
    <w:next w:val="style23"/>
    <w:rPr>
      <w:color w:val="40A070"/>
    </w:rPr>
  </w:style>
  <w:style w:styleId="style24" w:type="character">
    <w:name w:val="FloatTok"/>
    <w:basedOn w:val="style17"/>
    <w:next w:val="style24"/>
    <w:rPr>
      <w:color w:val="40A070"/>
    </w:rPr>
  </w:style>
  <w:style w:styleId="style25" w:type="character">
    <w:name w:val="CharTok"/>
    <w:basedOn w:val="style17"/>
    <w:next w:val="style25"/>
    <w:rPr>
      <w:color w:val="4070A0"/>
    </w:rPr>
  </w:style>
  <w:style w:styleId="style26" w:type="character">
    <w:name w:val="StringTok"/>
    <w:basedOn w:val="style17"/>
    <w:next w:val="style26"/>
    <w:rPr>
      <w:color w:val="4070A0"/>
    </w:rPr>
  </w:style>
  <w:style w:styleId="style27" w:type="character">
    <w:name w:val="CommentTok"/>
    <w:basedOn w:val="style17"/>
    <w:next w:val="style27"/>
    <w:rPr>
      <w:i/>
      <w:color w:val="60A0B0"/>
    </w:rPr>
  </w:style>
  <w:style w:styleId="style28" w:type="character">
    <w:name w:val="OtherTok"/>
    <w:basedOn w:val="style17"/>
    <w:next w:val="style28"/>
    <w:rPr>
      <w:color w:val="007020"/>
    </w:rPr>
  </w:style>
  <w:style w:styleId="style29" w:type="character">
    <w:name w:val="AlertTok"/>
    <w:basedOn w:val="style17"/>
    <w:next w:val="style29"/>
    <w:rPr>
      <w:b/>
      <w:color w:val="FF0000"/>
    </w:rPr>
  </w:style>
  <w:style w:styleId="style30" w:type="character">
    <w:name w:val="FunctionTok"/>
    <w:basedOn w:val="style17"/>
    <w:next w:val="style30"/>
    <w:rPr>
      <w:color w:val="06287E"/>
    </w:rPr>
  </w:style>
  <w:style w:styleId="style31" w:type="character">
    <w:name w:val="RegionMarkerTok"/>
    <w:basedOn w:val="style17"/>
    <w:next w:val="style31"/>
    <w:rPr/>
  </w:style>
  <w:style w:styleId="style32" w:type="character">
    <w:name w:val="ErrorTok"/>
    <w:basedOn w:val="style17"/>
    <w:next w:val="style32"/>
    <w:rPr>
      <w:b/>
      <w:color w:val="FF0000"/>
    </w:rPr>
  </w:style>
  <w:style w:styleId="style33" w:type="character">
    <w:name w:val="NormalTok"/>
    <w:basedOn w:val="style17"/>
    <w:next w:val="style33"/>
    <w:rPr/>
  </w:style>
  <w:style w:styleId="style34" w:type="character">
    <w:name w:val="Zdôraznenie"/>
    <w:next w:val="style34"/>
    <w:rPr>
      <w:i/>
      <w:iCs/>
    </w:rPr>
  </w:style>
  <w:style w:styleId="style35" w:type="character">
    <w:name w:val="Odrážky"/>
    <w:next w:val="style35"/>
    <w:rPr>
      <w:rFonts w:ascii="OpenSymbol" w:cs="OpenSymbol" w:eastAsia="OpenSymbol" w:hAnsi="OpenSymbol"/>
    </w:rPr>
  </w:style>
  <w:style w:styleId="style36" w:type="character">
    <w:name w:val="ListLabel 1"/>
    <w:next w:val="style36"/>
    <w:rPr>
      <w:rFonts w:cs="Symbol"/>
    </w:rPr>
  </w:style>
  <w:style w:styleId="style37" w:type="character">
    <w:name w:val="ListLabel 2"/>
    <w:next w:val="style37"/>
    <w:rPr>
      <w:rFonts w:cs="OpenSymbol"/>
    </w:rPr>
  </w:style>
  <w:style w:styleId="style38" w:type="paragraph">
    <w:name w:val="Nadpis"/>
    <w:basedOn w:val="style0"/>
    <w:next w:val="style39"/>
    <w:pPr>
      <w:keepNext/>
      <w:spacing w:after="120" w:before="240"/>
    </w:pPr>
    <w:rPr>
      <w:rFonts w:ascii="Arial" w:cs="DejaVu Sans" w:eastAsia="Droid Sans Fallback" w:hAnsi="Arial"/>
      <w:sz w:val="28"/>
      <w:szCs w:val="28"/>
    </w:rPr>
  </w:style>
  <w:style w:styleId="style39" w:type="paragraph">
    <w:name w:val="Telo textu"/>
    <w:basedOn w:val="style0"/>
    <w:next w:val="style39"/>
    <w:pPr>
      <w:spacing w:after="120" w:before="0"/>
    </w:pPr>
    <w:rPr/>
  </w:style>
  <w:style w:styleId="style40" w:type="paragraph">
    <w:name w:val="Zoznam"/>
    <w:basedOn w:val="style39"/>
    <w:next w:val="style40"/>
    <w:pPr/>
    <w:rPr>
      <w:rFonts w:cs="DejaVu Sans"/>
    </w:rPr>
  </w:style>
  <w:style w:styleId="style41" w:type="paragraph">
    <w:name w:val="Popis"/>
    <w:basedOn w:val="style0"/>
    <w:next w:val="style41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42" w:type="paragraph">
    <w:name w:val="Index"/>
    <w:basedOn w:val="style0"/>
    <w:next w:val="style42"/>
    <w:pPr>
      <w:suppressLineNumbers/>
    </w:pPr>
    <w:rPr>
      <w:rFonts w:cs="DejaVu Sans"/>
    </w:rPr>
  </w:style>
  <w:style w:styleId="style43" w:type="paragraph">
    <w:name w:val="Názov"/>
    <w:basedOn w:val="style0"/>
    <w:next w:val="style44"/>
    <w:pPr>
      <w:keepNext/>
      <w:keepLines/>
      <w:spacing w:after="240" w:before="480"/>
      <w:jc w:val="center"/>
    </w:pPr>
    <w:rPr>
      <w:rFonts w:ascii="Calibri" w:cs="" w:hAnsi="Calibri"/>
      <w:b/>
      <w:bCs/>
      <w:color w:val="345A8A"/>
      <w:sz w:val="36"/>
      <w:szCs w:val="36"/>
    </w:rPr>
  </w:style>
  <w:style w:styleId="style44" w:type="paragraph">
    <w:name w:val="Podnázov"/>
    <w:basedOn w:val="style38"/>
    <w:next w:val="style39"/>
    <w:pPr>
      <w:jc w:val="center"/>
    </w:pPr>
    <w:rPr>
      <w:i/>
      <w:iCs/>
      <w:sz w:val="28"/>
      <w:szCs w:val="28"/>
    </w:rPr>
  </w:style>
  <w:style w:styleId="style45" w:type="paragraph">
    <w:name w:val="Authors"/>
    <w:next w:val="style45"/>
    <w:pPr>
      <w:keepNext/>
      <w:keepLines/>
      <w:widowControl/>
      <w:tabs>
        <w:tab w:leader="none" w:pos="720" w:val="left"/>
      </w:tabs>
      <w:suppressAutoHyphens w:val="true"/>
      <w:spacing w:after="200" w:before="0"/>
      <w:jc w:val="center"/>
    </w:pPr>
    <w:rPr>
      <w:rFonts w:ascii="Cambria" w:cs="" w:eastAsia="Droid Sans Fallback" w:hAnsi="Cambria"/>
      <w:color w:val="00000A"/>
      <w:sz w:val="24"/>
      <w:szCs w:val="24"/>
      <w:lang w:bidi="ar-SA" w:eastAsia="en-US" w:val="en-US"/>
    </w:rPr>
  </w:style>
  <w:style w:styleId="style46" w:type="paragraph">
    <w:name w:val="Date"/>
    <w:next w:val="style46"/>
    <w:pPr>
      <w:keepNext/>
      <w:keepLines/>
      <w:widowControl/>
      <w:tabs>
        <w:tab w:leader="none" w:pos="720" w:val="left"/>
      </w:tabs>
      <w:suppressAutoHyphens w:val="true"/>
      <w:spacing w:after="200" w:before="0"/>
      <w:jc w:val="center"/>
    </w:pPr>
    <w:rPr>
      <w:rFonts w:ascii="Cambria" w:cs="" w:eastAsia="Droid Sans Fallback" w:hAnsi="Cambria"/>
      <w:color w:val="00000A"/>
      <w:sz w:val="24"/>
      <w:szCs w:val="24"/>
      <w:lang w:bidi="ar-SA" w:eastAsia="en-US" w:val="en-US"/>
    </w:rPr>
  </w:style>
  <w:style w:styleId="style47" w:type="paragraph">
    <w:name w:val="Block Quote"/>
    <w:basedOn w:val="style0"/>
    <w:next w:val="style47"/>
    <w:pPr>
      <w:spacing w:after="100" w:before="100"/>
    </w:pPr>
    <w:rPr>
      <w:rFonts w:ascii="Calibri" w:cs="" w:hAnsi="Calibri"/>
      <w:bCs/>
      <w:sz w:val="20"/>
      <w:szCs w:val="20"/>
    </w:rPr>
  </w:style>
  <w:style w:styleId="style48" w:type="paragraph">
    <w:name w:val="Definition Term"/>
    <w:basedOn w:val="style0"/>
    <w:next w:val="style48"/>
    <w:pPr>
      <w:keepNext/>
      <w:keepLines/>
      <w:spacing w:after="0" w:before="0"/>
    </w:pPr>
    <w:rPr>
      <w:b/>
    </w:rPr>
  </w:style>
  <w:style w:styleId="style49" w:type="paragraph">
    <w:name w:val="Definition"/>
    <w:basedOn w:val="style0"/>
    <w:next w:val="style49"/>
    <w:pPr/>
    <w:rPr/>
  </w:style>
  <w:style w:styleId="style50" w:type="paragraph">
    <w:name w:val="Table Caption"/>
    <w:basedOn w:val="style0"/>
    <w:next w:val="style50"/>
    <w:pPr>
      <w:spacing w:after="120" w:before="0"/>
    </w:pPr>
    <w:rPr>
      <w:i/>
    </w:rPr>
  </w:style>
  <w:style w:styleId="style51" w:type="paragraph">
    <w:name w:val="Picture Caption"/>
    <w:basedOn w:val="style0"/>
    <w:next w:val="style51"/>
    <w:pPr>
      <w:spacing w:after="120" w:before="0"/>
    </w:pPr>
    <w:rPr>
      <w:i/>
    </w:rPr>
  </w:style>
  <w:style w:styleId="style52" w:type="paragraph">
    <w:name w:val="Source Code"/>
    <w:basedOn w:val="style0"/>
    <w:next w:val="style5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rxiv.org/abs/0910.2825" TargetMode="External"/><Relationship Id="rId3" Type="http://schemas.openxmlformats.org/officeDocument/2006/relationships/hyperlink" Target="http://arxiv.org/abs/1112.5782" TargetMode="External"/><Relationship Id="rId4" Type="http://schemas.openxmlformats.org/officeDocument/2006/relationships/hyperlink" Target="http://bcc2013.ma.rhul.ac.uk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Microsoft Word 12.0.0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