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3"/>
        <w:spacing w:before="140" w:after="120"/>
        <w:rPr>
          <w:sz w:val="24"/>
          <w:szCs w:val="24"/>
        </w:rPr>
      </w:pPr>
      <w:r>
        <w:rPr>
          <w:sz w:val="24"/>
          <w:szCs w:val="24"/>
        </w:rPr>
        <w:t>Č</w:t>
      </w:r>
      <w:r>
        <w:rPr>
          <w:sz w:val="24"/>
          <w:szCs w:val="24"/>
        </w:rPr>
        <w:t xml:space="preserve">lánky 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4"/>
          <w:szCs w:val="24"/>
        </w:rPr>
        <w:t xml:space="preserve">G. Jenča: </w:t>
      </w:r>
      <w:r>
        <w:rPr>
          <w:rStyle w:val="Zdraznenie"/>
          <w:sz w:val="24"/>
          <w:szCs w:val="24"/>
        </w:rPr>
        <w:t>Effect Algebras are the Eilenberg-Moore Category for the Kalmbach Monad</w:t>
      </w:r>
      <w:r>
        <w:rPr>
          <w:sz w:val="24"/>
          <w:szCs w:val="24"/>
        </w:rPr>
        <w:t xml:space="preserve">, Order, </w:t>
      </w:r>
      <w:r>
        <w:rPr>
          <w:rStyle w:val="Silnzvraznenie"/>
          <w:sz w:val="24"/>
          <w:szCs w:val="24"/>
        </w:rPr>
        <w:t>32</w:t>
      </w:r>
      <w:r>
        <w:rPr>
          <w:sz w:val="24"/>
          <w:szCs w:val="24"/>
        </w:rPr>
        <w:t xml:space="preserve"> (2015) 439-448  </w:t>
      </w:r>
      <w:r>
        <w:rPr>
          <w:sz w:val="24"/>
          <w:szCs w:val="24"/>
        </w:rPr>
        <w:t>[nie CC časopis]</w:t>
      </w:r>
    </w:p>
    <w:p>
      <w:pPr>
        <w:pStyle w:val="Telotextu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sz w:val="24"/>
          <w:szCs w:val="24"/>
        </w:rPr>
        <w:t xml:space="preserve">G. Jenča: </w:t>
      </w:r>
      <w:r>
        <w:rPr>
          <w:rStyle w:val="Zdraznenie"/>
          <w:sz w:val="24"/>
          <w:szCs w:val="24"/>
        </w:rPr>
        <w:t>A note on unitizations of generalized effect algebras</w:t>
      </w:r>
      <w:r>
        <w:rPr>
          <w:sz w:val="24"/>
          <w:szCs w:val="24"/>
        </w:rPr>
        <w:t>, Soft Computing (</w:t>
      </w:r>
      <w:r>
        <w:rPr>
          <w:sz w:val="24"/>
          <w:szCs w:val="24"/>
        </w:rPr>
        <w:t>prijaté</w:t>
      </w:r>
      <w:r>
        <w:rPr>
          <w:sz w:val="24"/>
          <w:szCs w:val="24"/>
        </w:rPr>
        <w:t xml:space="preserve">) (2016) </w:t>
      </w:r>
      <w:r>
        <w:rPr>
          <w:sz w:val="24"/>
          <w:szCs w:val="24"/>
        </w:rPr>
        <w:t>[CC časopis]</w:t>
      </w:r>
    </w:p>
    <w:p>
      <w:pPr>
        <w:pStyle w:val="Nadpis3"/>
        <w:rPr>
          <w:sz w:val="24"/>
          <w:szCs w:val="24"/>
        </w:rPr>
      </w:pPr>
      <w:r>
        <w:rPr>
          <w:sz w:val="24"/>
          <w:szCs w:val="24"/>
        </w:rPr>
        <w:t xml:space="preserve">Citácie </w:t>
      </w:r>
    </w:p>
    <w:p>
      <w:pPr>
        <w:pStyle w:val="Nadpis4"/>
        <w:rPr>
          <w:sz w:val="24"/>
          <w:szCs w:val="24"/>
        </w:rPr>
      </w:pPr>
      <w:r>
        <w:rPr>
          <w:sz w:val="24"/>
          <w:szCs w:val="24"/>
        </w:rPr>
        <w:t>Článok:</w:t>
      </w:r>
    </w:p>
    <w:p>
      <w:pPr>
        <w:pStyle w:val="Telotextu"/>
        <w:rPr/>
      </w:pPr>
      <w:r>
        <w:rPr>
          <w:sz w:val="24"/>
          <w:szCs w:val="24"/>
        </w:rPr>
        <w:t xml:space="preserve">G. Jenča: </w:t>
      </w:r>
      <w:r>
        <w:rPr>
          <w:rStyle w:val="Zdraznenie"/>
          <w:sz w:val="24"/>
          <w:szCs w:val="24"/>
        </w:rPr>
        <w:t>Congruences generated by ideals of the compatibility center of lattice effect algebras</w:t>
      </w:r>
      <w:r>
        <w:rPr>
          <w:sz w:val="24"/>
          <w:szCs w:val="24"/>
        </w:rPr>
        <w:t xml:space="preserve">, Soft Computing, </w:t>
      </w:r>
      <w:r>
        <w:rPr>
          <w:rStyle w:val="Silnzvraznenie"/>
          <w:sz w:val="24"/>
          <w:szCs w:val="24"/>
        </w:rPr>
        <w:t>17</w:t>
      </w:r>
      <w:r>
        <w:rPr>
          <w:sz w:val="24"/>
          <w:szCs w:val="24"/>
        </w:rPr>
        <w:t xml:space="preserve"> (2013) 45-47 </w:t>
      </w:r>
    </w:p>
    <w:p>
      <w:pPr>
        <w:pStyle w:val="Nadpis4"/>
        <w:rPr>
          <w:sz w:val="24"/>
          <w:szCs w:val="24"/>
        </w:rPr>
      </w:pPr>
      <w:r>
        <w:rPr>
          <w:sz w:val="24"/>
          <w:szCs w:val="24"/>
        </w:rPr>
        <w:t xml:space="preserve">Citovaný v (počet 1): </w:t>
      </w:r>
    </w:p>
    <w:p>
      <w:pPr>
        <w:pStyle w:val="Telotextu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sz w:val="24"/>
          <w:szCs w:val="24"/>
        </w:rPr>
        <w:t xml:space="preserve">M. Botur, J. Kühr: </w:t>
      </w:r>
      <w:r>
        <w:rPr>
          <w:rStyle w:val="Zdraznenie"/>
          <w:sz w:val="24"/>
          <w:szCs w:val="24"/>
        </w:rPr>
        <w:t>On (finite) distributive lattices with antitone involutions</w:t>
      </w:r>
      <w:r>
        <w:rPr>
          <w:sz w:val="24"/>
          <w:szCs w:val="24"/>
        </w:rPr>
        <w:t xml:space="preserve">, Soft Computing, </w:t>
      </w:r>
      <w:r>
        <w:rPr>
          <w:rStyle w:val="Silnzvraznenie"/>
          <w:sz w:val="24"/>
          <w:szCs w:val="24"/>
        </w:rPr>
        <w:t>18</w:t>
      </w:r>
      <w:r>
        <w:rPr>
          <w:sz w:val="24"/>
          <w:szCs w:val="24"/>
        </w:rPr>
        <w:t xml:space="preserve"> (2014) 1033-1040 [scopus] [wos] </w:t>
      </w:r>
    </w:p>
    <w:p>
      <w:pPr>
        <w:pStyle w:val="Telotextu"/>
        <w:tabs>
          <w:tab w:val="left" w:pos="0" w:leader="none"/>
        </w:tabs>
        <w:ind w:hanging="0"/>
        <w:rPr>
          <w:b/>
          <w:b/>
          <w:bCs/>
        </w:rPr>
      </w:pPr>
      <w:r>
        <w:rPr>
          <w:b/>
          <w:bCs/>
          <w:sz w:val="24"/>
          <w:szCs w:val="24"/>
        </w:rPr>
        <w:t>Popis výsledkov:</w:t>
      </w:r>
    </w:p>
    <w:p>
      <w:pPr>
        <w:pStyle w:val="Telotextu"/>
        <w:numPr>
          <w:ilvl w:val="0"/>
          <w:numId w:val="3"/>
        </w:numPr>
        <w:tabs>
          <w:tab w:val="left" w:pos="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Kategória efektových algebier je izomorfná Eilenberg-Mooreovej kategórii monády na ohraničených posetoch, ktorá vzniká z adjunkcie medzi kategóriou ortomodulárnych posetov a ohraničených posetov.</w:t>
      </w:r>
    </w:p>
    <w:p>
      <w:pPr>
        <w:pStyle w:val="Telotextu"/>
        <w:numPr>
          <w:ilvl w:val="0"/>
          <w:numId w:val="3"/>
        </w:numPr>
        <w:tabs>
          <w:tab w:val="left" w:pos="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Zábudlivý funktor z efektových algebrier do zovšeobecnených efektových algebier je pravý adjungovaný funktor unifikačného funktora, popísaného Hedlíkovou a Pulmannovou v r. 1996. Zábudlivý faktor vytvára všetky koekvalizéry, a adjunkcia je teda monadická.</w:t>
      </w:r>
    </w:p>
    <w:p>
      <w:pPr>
        <w:pStyle w:val="Telotextu"/>
        <w:tabs>
          <w:tab w:val="left" w:pos="0" w:leader="none"/>
        </w:tabs>
        <w:rPr>
          <w:b/>
          <w:b/>
          <w:bCs/>
        </w:rPr>
      </w:pPr>
      <w:r>
        <w:rPr>
          <w:b/>
          <w:bCs/>
          <w:sz w:val="24"/>
          <w:szCs w:val="24"/>
        </w:rPr>
        <w:t>Príspevky na konferenciách: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rPr/>
      </w:pPr>
      <w:r>
        <w:rPr>
          <w:b w:val="false"/>
          <w:bCs w:val="false"/>
          <w:sz w:val="24"/>
          <w:szCs w:val="24"/>
        </w:rPr>
        <w:t xml:space="preserve">Anna Jenčová and Gejza Jenča: </w:t>
      </w:r>
      <w:r>
        <w:rPr>
          <w:b w:val="false"/>
          <w:bCs w:val="false"/>
          <w:i/>
          <w:iCs/>
          <w:sz w:val="24"/>
          <w:szCs w:val="24"/>
        </w:rPr>
        <w:t xml:space="preserve">Quantum logics as relational monoids, </w:t>
      </w:r>
      <w:r>
        <w:rPr>
          <w:b w:val="false"/>
          <w:bCs w:val="false"/>
          <w:i w:val="false"/>
          <w:iCs w:val="false"/>
          <w:sz w:val="24"/>
          <w:szCs w:val="24"/>
        </w:rPr>
        <w:t>TACL 2015, Ischia (Italy) 21 - 26 June 2015.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Gejza Jenča:  </w:t>
      </w:r>
      <w:r>
        <w:rPr>
          <w:b w:val="false"/>
          <w:bCs w:val="false"/>
          <w:i/>
          <w:iCs/>
          <w:sz w:val="24"/>
          <w:szCs w:val="24"/>
        </w:rPr>
        <w:t xml:space="preserve">On monoids in Rel, </w:t>
      </w:r>
      <w:r>
        <w:rPr>
          <w:b w:val="false"/>
          <w:bCs w:val="false"/>
          <w:i w:val="false"/>
          <w:iCs w:val="false"/>
          <w:sz w:val="24"/>
          <w:szCs w:val="24"/>
        </w:rPr>
        <w:t>SSAOS 2015, Srní (Česká republika),  August 29 – September 4 2015.</w:t>
      </w:r>
    </w:p>
    <w:p>
      <w:pPr>
        <w:pStyle w:val="Telotextu"/>
        <w:numPr>
          <w:ilvl w:val="0"/>
          <w:numId w:val="4"/>
        </w:numPr>
        <w:tabs>
          <w:tab w:val="left" w:pos="0" w:leader="none"/>
        </w:tabs>
        <w:spacing w:before="0" w:after="283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Gejza Jenča: </w:t>
      </w:r>
      <w:r>
        <w:rPr>
          <w:b w:val="false"/>
          <w:bCs w:val="false"/>
          <w:i/>
          <w:iCs/>
          <w:sz w:val="24"/>
          <w:szCs w:val="24"/>
        </w:rPr>
        <w:t>Partial semigroups and semicategories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Workshop „Monoidal categories of partial algebras“, Olomouc (Česká republika), 29.10 – 2.11.2015 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Mangal"/>
      <w:color w:val="00000A"/>
      <w:sz w:val="24"/>
      <w:szCs w:val="24"/>
      <w:lang w:val="sk-SK" w:eastAsia="zh-CN" w:bidi="hi-IN"/>
    </w:rPr>
  </w:style>
  <w:style w:type="paragraph" w:styleId="Nadpis1">
    <w:name w:val="Nadpis 1"/>
    <w:basedOn w:val="Nadpis"/>
    <w:pPr/>
    <w:rPr>
      <w:rFonts w:ascii="Thorndale" w:hAnsi="Thorndale"/>
      <w:b/>
      <w:bCs/>
      <w:sz w:val="48"/>
      <w:szCs w:val="44"/>
    </w:rPr>
  </w:style>
  <w:style w:type="paragraph" w:styleId="Nadpis3">
    <w:name w:val="Nadpis 3"/>
    <w:basedOn w:val="Nadpis"/>
    <w:pPr>
      <w:spacing w:before="140" w:after="120"/>
      <w:outlineLvl w:val="2"/>
    </w:pPr>
    <w:rPr>
      <w:rFonts w:ascii="Liberation Serif" w:hAnsi="Liberation Serif" w:eastAsia="Arial Unicode MS" w:cs="Mangal"/>
      <w:b/>
      <w:bCs/>
      <w:sz w:val="28"/>
      <w:szCs w:val="28"/>
    </w:rPr>
  </w:style>
  <w:style w:type="paragraph" w:styleId="Nadpis4">
    <w:name w:val="Nadpis 4"/>
    <w:basedOn w:val="Nadpis"/>
    <w:pPr>
      <w:spacing w:before="120" w:after="120"/>
      <w:outlineLvl w:val="3"/>
    </w:pPr>
    <w:rPr>
      <w:rFonts w:ascii="Liberation Serif" w:hAnsi="Liberation Serif" w:eastAsia="Arial Unicode MS" w:cs="Mangal"/>
      <w:b/>
      <w:bCs/>
      <w:sz w:val="24"/>
      <w:szCs w:val="24"/>
    </w:rPr>
  </w:style>
  <w:style w:type="character" w:styleId="Znakyprekoncovpoznmku">
    <w:name w:val="Znaky pre koncovú poznámku"/>
    <w:qFormat/>
    <w:rPr/>
  </w:style>
  <w:style w:type="character" w:styleId="Znakyprepoznmkupodiarou">
    <w:name w:val="Znaky pre poznámku pod čiarou"/>
    <w:qFormat/>
    <w:rPr/>
  </w:style>
  <w:style w:type="character" w:styleId="Internetovodkaz">
    <w:name w:val="Internetový odkaz"/>
    <w:rPr>
      <w:color w:val="000080"/>
      <w:u w:val="single"/>
    </w:rPr>
  </w:style>
  <w:style w:type="character" w:styleId="Symbolypreslovanie">
    <w:name w:val="Symboly pre číslovanie"/>
    <w:qFormat/>
    <w:rPr/>
  </w:style>
  <w:style w:type="character" w:styleId="Zdraznenie">
    <w:name w:val="Zdôraznenie"/>
    <w:rPr>
      <w:i/>
      <w:iCs/>
    </w:rPr>
  </w:style>
  <w:style w:type="character" w:styleId="Silnzvraznenie">
    <w:name w:val="Silné zvýraznenie"/>
    <w:rPr>
      <w:b/>
      <w:bCs/>
    </w:rPr>
  </w:style>
  <w:style w:type="paragraph" w:styleId="Nadpis">
    <w:name w:val="Nadpis"/>
    <w:basedOn w:val="Normal"/>
    <w:next w:val="Telotextu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elotextu">
    <w:name w:val="Telo textu"/>
    <w:basedOn w:val="Normal"/>
    <w:pPr>
      <w:spacing w:before="0" w:after="283"/>
    </w:pPr>
    <w:rPr/>
  </w:style>
  <w:style w:type="paragraph" w:styleId="Zoznam">
    <w:name w:val="Zoznam"/>
    <w:basedOn w:val="Telotextu"/>
    <w:pPr/>
    <w:rPr>
      <w:rFonts w:cs="Mangal"/>
    </w:rPr>
  </w:style>
  <w:style w:type="paragraph" w:styleId="Popis">
    <w:name w:val="Po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Vodorovniara">
    <w:name w:val="Vodorovná čiara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Odosielate">
    <w:name w:val="Odosielateľ"/>
    <w:basedOn w:val="Normal"/>
    <w:pPr/>
    <w:rPr>
      <w:i/>
    </w:rPr>
  </w:style>
  <w:style w:type="paragraph" w:styleId="Obsahtabuky">
    <w:name w:val="Obsah tabuľky"/>
    <w:basedOn w:val="Telotextu"/>
    <w:qFormat/>
    <w:pPr/>
    <w:rPr/>
  </w:style>
  <w:style w:type="paragraph" w:styleId="Pta">
    <w:name w:val="Pät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lavika">
    <w:name w:val="Hlavička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Nadpistabuky">
    <w:name w:val="Nadpis tabuľky"/>
    <w:basedOn w:val="Obsahtabuk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LibreOffice/5.0.3.2$Linux_X86_64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sk-SK</dc:language>
  <dcterms:modified xsi:type="dcterms:W3CDTF">2015-12-16T12:21:55Z</dcterms:modified>
  <cp:revision>2</cp:revision>
  <dc:title> 0178 za rok 2014 </dc:title>
</cp:coreProperties>
</file>