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3"/>
        <w:spacing w:before="140" w:after="120"/>
        <w:rPr/>
      </w:pPr>
      <w:r>
        <w:rPr/>
        <w:t>Paper:</w:t>
      </w:r>
    </w:p>
    <w:p>
      <w:pPr>
        <w:pStyle w:val="Telotextu"/>
        <w:rPr/>
      </w:pPr>
      <w:r>
        <w:rPr/>
        <w:t xml:space="preserve">G. Jenča: </w:t>
      </w:r>
      <w:r>
        <w:rPr>
          <w:rStyle w:val="Zdraznenie"/>
        </w:rPr>
        <w:t>Congruences generated by ideals of the compatibility center of lattice effect algebras</w:t>
      </w:r>
      <w:r>
        <w:rPr/>
        <w:t xml:space="preserve">, Soft Computing, </w:t>
      </w:r>
      <w:r>
        <w:rPr>
          <w:rStyle w:val="Silnzvraznenie"/>
        </w:rPr>
        <w:t>17</w:t>
      </w:r>
      <w:r>
        <w:rPr/>
        <w:t xml:space="preserve"> (2013) 45-47 </w:t>
      </w:r>
    </w:p>
    <w:p>
      <w:pPr>
        <w:pStyle w:val="Nadpis3"/>
        <w:rPr/>
      </w:pPr>
      <w:r>
        <w:rPr/>
        <w:t xml:space="preserve">Cited in: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ind w:start="707" w:hanging="283"/>
        <w:rPr/>
      </w:pPr>
      <w:r>
        <w:rPr/>
        <w:t xml:space="preserve">J. Kühr, I. Chajda, R. Halaš: </w:t>
      </w:r>
      <w:r>
        <w:rPr>
          <w:rStyle w:val="Zdraznenie"/>
        </w:rPr>
        <w:t>The Join of the Variety of MV-Algebras and the Variety of Orthomodular Lattices</w:t>
      </w:r>
      <w:r>
        <w:rPr/>
        <w:t xml:space="preserve">, International Journal of Theoretical Physics, </w:t>
      </w:r>
      <w:r>
        <w:rPr>
          <w:rStyle w:val="Silnzvraznenie"/>
        </w:rPr>
        <w:t>54</w:t>
      </w:r>
      <w:r>
        <w:rPr/>
        <w:t xml:space="preserve"> (2015) 4423-4429 </w:t>
      </w:r>
    </w:p>
    <w:p>
      <w:pPr>
        <w:pStyle w:val="Vodorovniara"/>
        <w:spacing w:before="0" w:after="283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 w:val="24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Mangal"/>
      <w:color w:val="auto"/>
      <w:sz w:val="24"/>
      <w:szCs w:val="24"/>
      <w:lang w:val="sk-SK" w:eastAsia="zh-CN" w:bidi="hi-IN"/>
    </w:rPr>
  </w:style>
  <w:style w:type="paragraph" w:styleId="Nadpis1">
    <w:name w:val="Nadpis 1"/>
    <w:basedOn w:val="Nadpis"/>
    <w:next w:val="Telotextu"/>
    <w:pPr/>
    <w:rPr>
      <w:rFonts w:ascii="Thorndale" w:hAnsi="Thorndale"/>
      <w:b/>
      <w:bCs/>
      <w:sz w:val="48"/>
      <w:szCs w:val="44"/>
    </w:rPr>
  </w:style>
  <w:style w:type="paragraph" w:styleId="Nadpis3">
    <w:name w:val="Nadpis 3"/>
    <w:basedOn w:val="Nadpis"/>
    <w:next w:val="Telotextu"/>
    <w:pPr>
      <w:spacing w:before="140" w:after="120"/>
      <w:outlineLvl w:val="2"/>
      <w:outlineLvl w:val="2"/>
    </w:pPr>
    <w:rPr>
      <w:rFonts w:ascii="Liberation Serif" w:hAnsi="Liberation Serif" w:eastAsia="Arial Unicode MS" w:cs="Mangal"/>
      <w:b/>
      <w:bCs/>
      <w:sz w:val="28"/>
      <w:szCs w:val="28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character" w:styleId="Symbolypreslovanie">
    <w:name w:val="Symboly pre číslovanie"/>
    <w:qFormat/>
    <w:rPr/>
  </w:style>
  <w:style w:type="paragraph" w:styleId="Vodorovniara">
    <w:name w:val="Vodorovná čiara"/>
    <w:basedOn w:val="Normal"/>
    <w:next w:val="Telotextu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Zoznam">
    <w:name w:val="Zoznam"/>
    <w:basedOn w:val="Telotextu"/>
    <w:pPr/>
    <w:rPr>
      <w:rFonts w:cs="Mangal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cp:revision>0</cp:revision>
  <dc:title> Bibliografia </dc:title>
</cp:coreProperties>
</file>